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ED" w:rsidRDefault="00CE09ED" w:rsidP="008C1C66">
      <w:pPr>
        <w:spacing w:before="0" w:after="0" w:line="240" w:lineRule="auto"/>
      </w:pPr>
    </w:p>
    <w:p w:rsidR="008C1C66" w:rsidRDefault="00894401" w:rsidP="008C1C66">
      <w:pPr>
        <w:spacing w:before="0" w:after="0" w:line="240" w:lineRule="auto"/>
        <w:rPr>
          <w:rFonts w:cs="Arial"/>
          <w:color w:val="000000"/>
        </w:rPr>
      </w:pPr>
      <w:r>
        <w:rPr>
          <w:rFonts w:cs="Arial"/>
          <w:noProof/>
          <w:color w:val="000000"/>
        </w:rPr>
        <w:t>22</w:t>
      </w:r>
      <w:r w:rsidR="0079747A">
        <w:rPr>
          <w:rFonts w:cs="Arial"/>
          <w:noProof/>
          <w:color w:val="000000"/>
        </w:rPr>
        <w:t xml:space="preserve"> January</w:t>
      </w:r>
      <w:r w:rsidR="008C1C66" w:rsidRPr="0079747A">
        <w:rPr>
          <w:rFonts w:cs="Arial"/>
          <w:noProof/>
          <w:color w:val="000000"/>
        </w:rPr>
        <w:t xml:space="preserve"> 2015</w:t>
      </w:r>
      <w:r w:rsidR="008C1C66" w:rsidRPr="0079747A">
        <w:rPr>
          <w:rFonts w:cs="Arial"/>
          <w:color w:val="000000"/>
        </w:rPr>
        <w:t xml:space="preserve"> </w:t>
      </w:r>
    </w:p>
    <w:p w:rsidR="0079747A" w:rsidRDefault="0079747A" w:rsidP="008C1C66">
      <w:pPr>
        <w:spacing w:before="0" w:after="0" w:line="240" w:lineRule="auto"/>
        <w:rPr>
          <w:rFonts w:cs="Arial"/>
          <w:color w:val="000000"/>
        </w:rPr>
      </w:pPr>
    </w:p>
    <w:p w:rsidR="008C1C66" w:rsidRPr="004A6EDF" w:rsidRDefault="00015988" w:rsidP="008C1C66">
      <w:pPr>
        <w:pStyle w:val="Heading2"/>
        <w:spacing w:before="100" w:beforeAutospacing="1" w:after="100" w:afterAutospacing="1"/>
        <w:rPr>
          <w:rFonts w:cs="Arial"/>
          <w:b w:val="0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Renishaw adds to the c</w:t>
      </w:r>
      <w:r w:rsidR="00554236">
        <w:rPr>
          <w:rFonts w:cs="Arial"/>
          <w:color w:val="auto"/>
          <w:sz w:val="22"/>
          <w:szCs w:val="22"/>
        </w:rPr>
        <w:t>omprehensive</w:t>
      </w:r>
      <w:r w:rsidR="008C1C66" w:rsidRPr="004A6EDF">
        <w:rPr>
          <w:rFonts w:cs="Arial"/>
          <w:color w:val="auto"/>
          <w:sz w:val="22"/>
          <w:szCs w:val="22"/>
        </w:rPr>
        <w:t xml:space="preserve"> imaging options </w:t>
      </w:r>
      <w:r>
        <w:rPr>
          <w:rFonts w:cs="Arial"/>
          <w:color w:val="auto"/>
          <w:sz w:val="22"/>
          <w:szCs w:val="22"/>
        </w:rPr>
        <w:t xml:space="preserve">available </w:t>
      </w:r>
      <w:r w:rsidR="00A1452F">
        <w:rPr>
          <w:rFonts w:cs="Arial"/>
          <w:color w:val="auto"/>
          <w:sz w:val="22"/>
          <w:szCs w:val="22"/>
        </w:rPr>
        <w:t>with its</w:t>
      </w:r>
      <w:r w:rsidR="008C1C66" w:rsidRPr="004A6EDF">
        <w:rPr>
          <w:rFonts w:cs="Arial"/>
          <w:color w:val="auto"/>
          <w:sz w:val="22"/>
          <w:szCs w:val="22"/>
        </w:rPr>
        <w:t xml:space="preserve"> inVia confocal Raman microscope</w:t>
      </w:r>
    </w:p>
    <w:p w:rsidR="008C1C66" w:rsidRDefault="008C1C66" w:rsidP="008C1C66">
      <w:pPr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will be </w:t>
      </w:r>
      <w:r w:rsidR="007026F2">
        <w:rPr>
          <w:rFonts w:cs="Arial"/>
          <w:sz w:val="22"/>
          <w:szCs w:val="22"/>
        </w:rPr>
        <w:t>exhibiting</w:t>
      </w:r>
      <w:r>
        <w:rPr>
          <w:rFonts w:cs="Arial"/>
          <w:sz w:val="22"/>
          <w:szCs w:val="22"/>
        </w:rPr>
        <w:t xml:space="preserve"> its inVia confocal Raman microscope at Pittcon 2015, </w:t>
      </w:r>
      <w:r w:rsidR="00554236">
        <w:rPr>
          <w:rFonts w:cs="Arial"/>
          <w:sz w:val="22"/>
          <w:szCs w:val="22"/>
        </w:rPr>
        <w:t>at the Ernest N. Morial Convention Center, New Orleans, USA, from 8 – 12 March.</w:t>
      </w:r>
    </w:p>
    <w:p w:rsidR="008C1C66" w:rsidRDefault="000857A8" w:rsidP="008C1C66">
      <w:pPr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554236">
        <w:rPr>
          <w:rFonts w:cs="Arial"/>
          <w:sz w:val="22"/>
          <w:szCs w:val="22"/>
        </w:rPr>
        <w:t xml:space="preserve">inVia </w:t>
      </w:r>
      <w:r>
        <w:rPr>
          <w:rFonts w:cs="Arial"/>
          <w:sz w:val="22"/>
          <w:szCs w:val="22"/>
        </w:rPr>
        <w:t xml:space="preserve">system </w:t>
      </w:r>
      <w:r w:rsidR="00554236">
        <w:rPr>
          <w:rFonts w:cs="Arial"/>
          <w:sz w:val="22"/>
          <w:szCs w:val="22"/>
        </w:rPr>
        <w:t>enables users to s</w:t>
      </w:r>
      <w:r w:rsidR="0046530C">
        <w:rPr>
          <w:rFonts w:cs="Arial"/>
          <w:sz w:val="22"/>
          <w:szCs w:val="22"/>
        </w:rPr>
        <w:t xml:space="preserve">tudy the widest range of samples with the broadest range of </w:t>
      </w:r>
      <w:r w:rsidR="00554236">
        <w:rPr>
          <w:rFonts w:cs="Arial"/>
          <w:sz w:val="22"/>
          <w:szCs w:val="22"/>
        </w:rPr>
        <w:t xml:space="preserve">Raman </w:t>
      </w:r>
      <w:r w:rsidR="0046530C">
        <w:rPr>
          <w:rFonts w:cs="Arial"/>
          <w:sz w:val="22"/>
          <w:szCs w:val="22"/>
        </w:rPr>
        <w:t>imaging techniques. Renishaw</w:t>
      </w:r>
      <w:r w:rsidR="00554236">
        <w:rPr>
          <w:rFonts w:cs="Arial"/>
          <w:sz w:val="22"/>
          <w:szCs w:val="22"/>
        </w:rPr>
        <w:t>’s</w:t>
      </w:r>
      <w:r w:rsidR="0046530C">
        <w:rPr>
          <w:rFonts w:cs="Arial"/>
          <w:sz w:val="22"/>
          <w:szCs w:val="22"/>
        </w:rPr>
        <w:t xml:space="preserve"> unique suite of complementary imaging options </w:t>
      </w:r>
      <w:r w:rsidR="00554236">
        <w:rPr>
          <w:rFonts w:cs="Arial"/>
          <w:sz w:val="22"/>
          <w:szCs w:val="22"/>
        </w:rPr>
        <w:t xml:space="preserve">make it easy for users to get the chemical and structural information they need. </w:t>
      </w:r>
      <w:r w:rsidR="00DE5554">
        <w:rPr>
          <w:rFonts w:cs="Arial"/>
          <w:sz w:val="22"/>
          <w:szCs w:val="22"/>
        </w:rPr>
        <w:t xml:space="preserve">On </w:t>
      </w:r>
      <w:r w:rsidR="00554236">
        <w:rPr>
          <w:rFonts w:cs="Arial"/>
          <w:sz w:val="22"/>
          <w:szCs w:val="22"/>
        </w:rPr>
        <w:t>stand 2808</w:t>
      </w:r>
      <w:r w:rsidR="00DE5554">
        <w:rPr>
          <w:rFonts w:cs="Arial"/>
          <w:sz w:val="22"/>
          <w:szCs w:val="22"/>
        </w:rPr>
        <w:t xml:space="preserve">, </w:t>
      </w:r>
      <w:r w:rsidR="00FE3DAD">
        <w:rPr>
          <w:rFonts w:cs="Arial"/>
          <w:sz w:val="22"/>
          <w:szCs w:val="22"/>
        </w:rPr>
        <w:t xml:space="preserve">Renishaw’s experts </w:t>
      </w:r>
      <w:r w:rsidR="00356600">
        <w:rPr>
          <w:rFonts w:cs="Arial"/>
          <w:sz w:val="22"/>
          <w:szCs w:val="22"/>
        </w:rPr>
        <w:t xml:space="preserve">will explain </w:t>
      </w:r>
      <w:r w:rsidR="00554236">
        <w:rPr>
          <w:rFonts w:cs="Arial"/>
          <w:sz w:val="22"/>
          <w:szCs w:val="22"/>
        </w:rPr>
        <w:t xml:space="preserve">the </w:t>
      </w:r>
      <w:r w:rsidR="00B54A74">
        <w:rPr>
          <w:rFonts w:cs="Arial"/>
          <w:sz w:val="22"/>
          <w:szCs w:val="22"/>
        </w:rPr>
        <w:t>collective</w:t>
      </w:r>
      <w:r w:rsidR="00554236">
        <w:rPr>
          <w:rFonts w:cs="Arial"/>
          <w:sz w:val="22"/>
          <w:szCs w:val="22"/>
        </w:rPr>
        <w:t xml:space="preserve"> benefits of each te</w:t>
      </w:r>
      <w:r w:rsidR="00356600">
        <w:rPr>
          <w:rFonts w:cs="Arial"/>
          <w:sz w:val="22"/>
          <w:szCs w:val="22"/>
        </w:rPr>
        <w:t>chnique</w:t>
      </w:r>
      <w:r w:rsidR="002257B8">
        <w:rPr>
          <w:rFonts w:cs="Arial"/>
          <w:sz w:val="22"/>
          <w:szCs w:val="22"/>
        </w:rPr>
        <w:t xml:space="preserve"> and </w:t>
      </w:r>
      <w:r w:rsidR="00DB45C8">
        <w:rPr>
          <w:rFonts w:cs="Arial"/>
          <w:sz w:val="22"/>
          <w:szCs w:val="22"/>
        </w:rPr>
        <w:t>how the addition of transmission Raman provides maximum flexibility.</w:t>
      </w:r>
    </w:p>
    <w:p w:rsidR="00015988" w:rsidRDefault="00015988" w:rsidP="00015988">
      <w:pPr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Applications Scientist, Pippa Law, will give a presentation on transmission Raman</w:t>
      </w:r>
      <w:r w:rsidRPr="006E023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on</w:t>
      </w:r>
      <w:r w:rsidR="0003003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  <w:vertAlign w:val="superscript"/>
        </w:rPr>
        <w:t xml:space="preserve"> </w:t>
      </w:r>
      <w:r>
        <w:rPr>
          <w:rFonts w:cs="Arial"/>
          <w:sz w:val="22"/>
          <w:szCs w:val="22"/>
        </w:rPr>
        <w:t>March, at 2.30 pm. She will explain how transmission Raman is an attractive method for the fast, quantitative analysis of bulk material</w:t>
      </w:r>
      <w:r w:rsidRPr="000671F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homogeneity. With a focus on pharmaceuticals, she will demonstrate the significant benefits that transmission Raman offers </w:t>
      </w:r>
      <w:bookmarkStart w:id="0" w:name="_GoBack"/>
      <w:bookmarkEnd w:id="0"/>
      <w:r>
        <w:rPr>
          <w:rFonts w:cs="Arial"/>
          <w:sz w:val="22"/>
          <w:szCs w:val="22"/>
        </w:rPr>
        <w:t>for applications such as tablet dose and blend uniformity.</w:t>
      </w:r>
    </w:p>
    <w:p w:rsidR="008C1C66" w:rsidRDefault="007026F2" w:rsidP="008C1C66">
      <w:pPr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Join Renishaw at Pittcon</w:t>
      </w:r>
      <w:r w:rsidR="00554236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or contact </w:t>
      </w:r>
      <w:r w:rsidR="000857A8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lo</w:t>
      </w:r>
      <w:r w:rsidR="002C3A29">
        <w:rPr>
          <w:rFonts w:cs="Arial"/>
          <w:sz w:val="22"/>
          <w:szCs w:val="22"/>
        </w:rPr>
        <w:t>cal sales representative to dis</w:t>
      </w:r>
      <w:r>
        <w:rPr>
          <w:rFonts w:cs="Arial"/>
          <w:sz w:val="22"/>
          <w:szCs w:val="22"/>
        </w:rPr>
        <w:t>c</w:t>
      </w:r>
      <w:r w:rsidR="00554236">
        <w:rPr>
          <w:rFonts w:cs="Arial"/>
          <w:sz w:val="22"/>
          <w:szCs w:val="22"/>
        </w:rPr>
        <w:t xml:space="preserve">over </w:t>
      </w:r>
      <w:r>
        <w:rPr>
          <w:rFonts w:cs="Arial"/>
          <w:sz w:val="22"/>
          <w:szCs w:val="22"/>
        </w:rPr>
        <w:t xml:space="preserve">how the inVia confocal Raman microscope </w:t>
      </w:r>
      <w:r w:rsidR="00FE3DAD">
        <w:rPr>
          <w:rFonts w:cs="Arial"/>
          <w:sz w:val="22"/>
          <w:szCs w:val="22"/>
        </w:rPr>
        <w:t>can generate outstanding Raman</w:t>
      </w:r>
      <w:r w:rsidR="00554236">
        <w:rPr>
          <w:rFonts w:cs="Arial"/>
          <w:sz w:val="22"/>
          <w:szCs w:val="22"/>
        </w:rPr>
        <w:t xml:space="preserve"> images</w:t>
      </w:r>
      <w:r w:rsidR="00FE3DAD">
        <w:rPr>
          <w:rFonts w:cs="Arial"/>
          <w:sz w:val="22"/>
          <w:szCs w:val="22"/>
        </w:rPr>
        <w:t>.</w:t>
      </w:r>
    </w:p>
    <w:p w:rsidR="00CF7E4F" w:rsidRDefault="00CF7E4F" w:rsidP="008C1C66">
      <w:pPr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Image: Raman image of a SiC wafer illustrating different crystal polytypes.</w:t>
      </w:r>
    </w:p>
    <w:p w:rsidR="008C1C66" w:rsidRPr="0079747A" w:rsidRDefault="008C1C66" w:rsidP="008C1C66">
      <w:pPr>
        <w:spacing w:before="100" w:beforeAutospacing="1" w:afterLines="115" w:after="276" w:afterAutospacing="1" w:line="276" w:lineRule="auto"/>
        <w:jc w:val="center"/>
        <w:rPr>
          <w:rFonts w:cs="Arial"/>
          <w:sz w:val="22"/>
          <w:szCs w:val="22"/>
        </w:rPr>
      </w:pPr>
      <w:r w:rsidRPr="0079747A">
        <w:rPr>
          <w:rFonts w:cs="Arial"/>
          <w:sz w:val="22"/>
          <w:szCs w:val="22"/>
        </w:rPr>
        <w:t>-Ends-</w:t>
      </w:r>
    </w:p>
    <w:p w:rsidR="008C1C66" w:rsidRPr="00B873E3" w:rsidRDefault="008C1C66" w:rsidP="008C1C66">
      <w:pPr>
        <w:spacing w:line="276" w:lineRule="auto"/>
        <w:rPr>
          <w:rFonts w:cs="Arial"/>
          <w:sz w:val="22"/>
          <w:szCs w:val="22"/>
        </w:rPr>
      </w:pPr>
    </w:p>
    <w:p w:rsidR="008C1C66" w:rsidRPr="008C1C66" w:rsidRDefault="008C1C66" w:rsidP="008C1C66">
      <w:pPr>
        <w:spacing w:line="276" w:lineRule="auto"/>
        <w:rPr>
          <w:rFonts w:cs="Arial"/>
          <w:b/>
        </w:rPr>
      </w:pPr>
      <w:r w:rsidRPr="008C1C66">
        <w:rPr>
          <w:rFonts w:cs="Arial"/>
          <w:b/>
        </w:rPr>
        <w:t>About Renishaw</w:t>
      </w:r>
    </w:p>
    <w:p w:rsidR="008C1C66" w:rsidRPr="008C1C66" w:rsidRDefault="008C1C66" w:rsidP="008C1C66">
      <w:pPr>
        <w:spacing w:line="276" w:lineRule="auto"/>
        <w:rPr>
          <w:rFonts w:cs="Arial"/>
        </w:rPr>
      </w:pPr>
      <w:r w:rsidRPr="008C1C66">
        <w:rPr>
          <w:rFonts w:cs="Arial"/>
        </w:rPr>
        <w:t>Renishaw is a world leading engineering technologies company, supplying products used for applications as diverse as jet engine and wind turbine manufacture, through to dentistry and brain surgery. It employs over 3,</w:t>
      </w:r>
      <w:r w:rsidR="000857A8">
        <w:rPr>
          <w:rFonts w:cs="Arial"/>
        </w:rPr>
        <w:t>7</w:t>
      </w:r>
      <w:r w:rsidRPr="008C1C66">
        <w:rPr>
          <w:rFonts w:cs="Arial"/>
        </w:rPr>
        <w:t>00 people globally, some 2,400 of which are located at its 15 sites in the UK, plus over 1,</w:t>
      </w:r>
      <w:r w:rsidR="000857A8">
        <w:rPr>
          <w:rFonts w:cs="Arial"/>
        </w:rPr>
        <w:t>3</w:t>
      </w:r>
      <w:r w:rsidRPr="008C1C66">
        <w:rPr>
          <w:rFonts w:cs="Arial"/>
        </w:rPr>
        <w:t>00 staff located in the 32 countries where it has wholly owned subsidiary operations.</w:t>
      </w:r>
    </w:p>
    <w:p w:rsidR="008C1C66" w:rsidRPr="008C1C66" w:rsidRDefault="008C1C66" w:rsidP="008C1C66">
      <w:pPr>
        <w:spacing w:line="276" w:lineRule="auto"/>
        <w:rPr>
          <w:rFonts w:cs="Arial"/>
        </w:rPr>
      </w:pPr>
      <w:r w:rsidRPr="008C1C66">
        <w:rPr>
          <w:rFonts w:cs="Arial"/>
        </w:rPr>
        <w:t>For the year ended June 2014 Renishaw recorded sales of £355.5 million of which 93% was due to exports. The company's largest markets are the USA, China, Germany and Japan.</w:t>
      </w:r>
    </w:p>
    <w:p w:rsidR="008C1C66" w:rsidRPr="008C1C66" w:rsidRDefault="008C1C66" w:rsidP="008C1C66">
      <w:pPr>
        <w:spacing w:line="276" w:lineRule="auto"/>
        <w:rPr>
          <w:rFonts w:cs="Arial"/>
        </w:rPr>
      </w:pPr>
      <w:r w:rsidRPr="008C1C66">
        <w:rPr>
          <w:rFonts w:cs="Arial"/>
        </w:rPr>
        <w:t xml:space="preserve">The Company's success has been recognised with numerous international awards, including seventeen Queen's Awards recognising achievements in technology, export and innovation. For more information visit </w:t>
      </w:r>
      <w:hyperlink r:id="rId7" w:history="1">
        <w:r w:rsidRPr="008C1C66">
          <w:rPr>
            <w:rStyle w:val="Hyperlink"/>
            <w:rFonts w:cs="Arial"/>
          </w:rPr>
          <w:t>www.renishaw.com</w:t>
        </w:r>
      </w:hyperlink>
      <w:r w:rsidRPr="008C1C66">
        <w:rPr>
          <w:rFonts w:cs="Arial"/>
        </w:rPr>
        <w:t xml:space="preserve"> </w:t>
      </w:r>
    </w:p>
    <w:p w:rsidR="008C1C66" w:rsidRDefault="008C1C66" w:rsidP="008C1C66">
      <w:pPr>
        <w:spacing w:before="0" w:after="0" w:line="240" w:lineRule="auto"/>
        <w:rPr>
          <w:rFonts w:cs="Arial"/>
          <w:i/>
          <w:color w:val="000000"/>
        </w:rPr>
      </w:pPr>
    </w:p>
    <w:p w:rsidR="008C1C66" w:rsidRDefault="008C1C66" w:rsidP="008C1C66">
      <w:pPr>
        <w:pStyle w:val="Heading3"/>
      </w:pPr>
      <w:r>
        <w:lastRenderedPageBreak/>
        <w:t xml:space="preserve">For further information </w:t>
      </w:r>
    </w:p>
    <w:p w:rsidR="008C1C66" w:rsidRDefault="008C1C66" w:rsidP="008C1C66">
      <w:r>
        <w:t>Please contact: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6"/>
        <w:gridCol w:w="4646"/>
      </w:tblGrid>
      <w:tr w:rsidR="008C1C66" w:rsidTr="007B5D0D">
        <w:tc>
          <w:tcPr>
            <w:tcW w:w="4646" w:type="dxa"/>
          </w:tcPr>
          <w:p w:rsidR="008C1C66" w:rsidRDefault="008C1C66" w:rsidP="007B5D0D">
            <w:pPr>
              <w:spacing w:before="120" w:after="0"/>
            </w:pPr>
            <w:r>
              <w:t>David Reece</w:t>
            </w:r>
            <w:r>
              <w:br/>
              <w:t>Renishaw plc</w:t>
            </w:r>
            <w:r>
              <w:br/>
              <w:t>Old Town</w:t>
            </w:r>
            <w:r>
              <w:br/>
              <w:t>Wotton-under-Edge</w:t>
            </w:r>
            <w:r>
              <w:br/>
              <w:t>Gloucestershire GL12 7DW UK</w:t>
            </w:r>
            <w:r>
              <w:br/>
              <w:t>Tel: +44 1453 523968 (direct)</w:t>
            </w:r>
            <w:r>
              <w:br/>
              <w:t>Tel: +44 1453 524524 (switchboard)</w:t>
            </w:r>
            <w:r>
              <w:br/>
              <w:t>Fax: +44 1453 523901</w:t>
            </w:r>
            <w:r>
              <w:br/>
              <w:t xml:space="preserve">Email: </w:t>
            </w:r>
            <w:hyperlink r:id="rId8" w:history="1">
              <w:r>
                <w:rPr>
                  <w:rStyle w:val="Hyperlink"/>
                </w:rPr>
                <w:t>david.reece</w:t>
              </w:r>
              <w:r w:rsidRPr="00CA52C8">
                <w:rPr>
                  <w:rStyle w:val="Hyperlink"/>
                </w:rPr>
                <w:t>@renishaw.com</w:t>
              </w:r>
            </w:hyperlink>
            <w:r>
              <w:br/>
            </w:r>
            <w:hyperlink r:id="rId9" w:history="1">
              <w:r w:rsidRPr="00436A8F">
                <w:rPr>
                  <w:rStyle w:val="Hyperlink"/>
                </w:rPr>
                <w:t>www.renishaw.com/raman</w:t>
              </w:r>
            </w:hyperlink>
          </w:p>
        </w:tc>
        <w:tc>
          <w:tcPr>
            <w:tcW w:w="4646" w:type="dxa"/>
          </w:tcPr>
          <w:p w:rsidR="008C1C66" w:rsidRPr="006E30D5" w:rsidRDefault="008C1C66" w:rsidP="007B5D0D">
            <w:pPr>
              <w:rPr>
                <w:color w:val="FF0000"/>
              </w:rPr>
            </w:pPr>
          </w:p>
        </w:tc>
      </w:tr>
    </w:tbl>
    <w:p w:rsidR="008C1C66" w:rsidRPr="008C1C66" w:rsidRDefault="008C1C66" w:rsidP="008C1C66"/>
    <w:sectPr w:rsidR="008C1C66" w:rsidRPr="008C1C66" w:rsidSect="005F5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40" w:right="1274" w:bottom="1418" w:left="1412" w:header="1134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6F" w:rsidRDefault="005B226F">
      <w:r>
        <w:separator/>
      </w:r>
    </w:p>
  </w:endnote>
  <w:endnote w:type="continuationSeparator" w:id="0">
    <w:p w:rsidR="005B226F" w:rsidRDefault="005B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C3" w:rsidRDefault="00756D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F" w:rsidRDefault="005B226F" w:rsidP="001F0337">
    <w:pPr>
      <w:pStyle w:val="Footer"/>
    </w:pPr>
    <w:r>
      <w:tab/>
    </w:r>
    <w:r w:rsidR="00BE27B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E27BE">
      <w:rPr>
        <w:rStyle w:val="PageNumber"/>
      </w:rPr>
      <w:fldChar w:fldCharType="separate"/>
    </w:r>
    <w:r w:rsidR="006068B3">
      <w:rPr>
        <w:rStyle w:val="PageNumber"/>
        <w:noProof/>
      </w:rPr>
      <w:t>2</w:t>
    </w:r>
    <w:r w:rsidR="00BE27BE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C3" w:rsidRDefault="00756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6F" w:rsidRDefault="005B226F">
      <w:r>
        <w:separator/>
      </w:r>
    </w:p>
  </w:footnote>
  <w:footnote w:type="continuationSeparator" w:id="0">
    <w:p w:rsidR="005B226F" w:rsidRDefault="005B2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DC3" w:rsidRDefault="00756D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F" w:rsidRDefault="00756DC3">
    <w:pPr>
      <w:tabs>
        <w:tab w:val="left" w:pos="2552"/>
        <w:tab w:val="left" w:pos="3119"/>
      </w:tabs>
      <w:spacing w:before="0" w:after="0" w:line="240" w:lineRule="auto"/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4216024</wp:posOffset>
          </wp:positionH>
          <wp:positionV relativeFrom="paragraph">
            <wp:posOffset>-307966</wp:posOffset>
          </wp:positionV>
          <wp:extent cx="2200740" cy="824248"/>
          <wp:effectExtent l="19050" t="0" r="9060" b="0"/>
          <wp:wrapNone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740" cy="824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68B3">
      <w:rPr>
        <w:noProof/>
        <w:sz w:val="16"/>
      </w:rPr>
      <w:pict>
        <v:line id="_x0000_s2052" style="position:absolute;z-index:251658752;mso-position-horizontal-relative:text;mso-position-vertical-relative:text" from="-49.6pt,.55pt" to="518.9pt,.55pt" o:allowincell="f" stroked="f"/>
      </w:pict>
    </w:r>
    <w:r w:rsidR="005B226F">
      <w:rPr>
        <w:b/>
        <w:sz w:val="16"/>
      </w:rPr>
      <w:t>News from Renishaw</w:t>
    </w:r>
    <w:r w:rsidR="005B226F">
      <w:rPr>
        <w:sz w:val="16"/>
      </w:rPr>
      <w:br/>
      <w:t>…/continued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6F" w:rsidRDefault="00D27967">
    <w:pPr>
      <w:tabs>
        <w:tab w:val="left" w:pos="2552"/>
        <w:tab w:val="left" w:pos="3119"/>
      </w:tabs>
      <w:spacing w:before="0" w:after="0" w:line="240" w:lineRule="auto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3716020</wp:posOffset>
          </wp:positionH>
          <wp:positionV relativeFrom="paragraph">
            <wp:posOffset>-192405</wp:posOffset>
          </wp:positionV>
          <wp:extent cx="2210435" cy="824865"/>
          <wp:effectExtent l="1905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68B3">
      <w:rPr>
        <w:noProof/>
        <w:sz w:val="16"/>
      </w:rPr>
      <w:pict>
        <v:line id="_x0000_s2050" style="position:absolute;z-index:251656704;mso-position-horizontal-relative:text;mso-position-vertical-relative:text" from="-49.6pt,.55pt" to="518.9pt,.55pt" o:allowincell="f" stroked="f"/>
      </w:pict>
    </w:r>
    <w:r w:rsidR="005B226F">
      <w:rPr>
        <w:b/>
        <w:sz w:val="16"/>
      </w:rPr>
      <w:t>Renishaw plc</w:t>
    </w:r>
  </w:p>
  <w:p w:rsidR="005B226F" w:rsidRDefault="005B226F">
    <w:pPr>
      <w:pStyle w:val="Header"/>
      <w:spacing w:before="0" w:after="0" w:line="240" w:lineRule="auto"/>
      <w:rPr>
        <w:sz w:val="16"/>
      </w:rPr>
    </w:pPr>
    <w:r>
      <w:rPr>
        <w:sz w:val="16"/>
      </w:rPr>
      <w:t>Spectroscopy Products Division</w:t>
    </w:r>
  </w:p>
  <w:p w:rsidR="005B226F" w:rsidRDefault="005B226F">
    <w:pPr>
      <w:pStyle w:val="Header"/>
      <w:spacing w:before="0" w:after="0" w:line="240" w:lineRule="auto"/>
      <w:rPr>
        <w:sz w:val="16"/>
      </w:rPr>
    </w:pPr>
  </w:p>
  <w:p w:rsidR="005B226F" w:rsidRDefault="005B226F">
    <w:pPr>
      <w:pStyle w:val="Header"/>
      <w:spacing w:before="0" w:after="0" w:line="240" w:lineRule="auto"/>
      <w:rPr>
        <w:sz w:val="16"/>
      </w:rPr>
    </w:pPr>
  </w:p>
  <w:p w:rsidR="005B226F" w:rsidRDefault="005B226F">
    <w:pPr>
      <w:pStyle w:val="Header"/>
      <w:spacing w:before="0" w:after="0" w:line="240" w:lineRule="auto"/>
      <w:rPr>
        <w:sz w:val="16"/>
      </w:rPr>
    </w:pPr>
  </w:p>
  <w:p w:rsidR="005B226F" w:rsidRDefault="005B226F">
    <w:pPr>
      <w:pStyle w:val="Header"/>
      <w:spacing w:before="0" w:after="0" w:line="240" w:lineRule="auto"/>
      <w:rPr>
        <w:sz w:val="16"/>
      </w:rPr>
    </w:pPr>
  </w:p>
  <w:p w:rsidR="005B226F" w:rsidRDefault="005B226F">
    <w:pPr>
      <w:pStyle w:val="Header"/>
      <w:spacing w:before="0" w:after="60" w:line="240" w:lineRule="auto"/>
      <w:rPr>
        <w:b/>
      </w:rPr>
    </w:pPr>
    <w:r>
      <w:rPr>
        <w:b/>
        <w:sz w:val="36"/>
      </w:rPr>
      <w:t>News from Renishaw</w:t>
    </w:r>
  </w:p>
  <w:p w:rsidR="005B226F" w:rsidRDefault="005B226F">
    <w:pPr>
      <w:pStyle w:val="Header"/>
      <w:spacing w:before="0" w:after="60" w:line="240" w:lineRule="auto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2E34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08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ECE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B212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DEC4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DC7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941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6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52A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B866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307C41C0"/>
    <w:multiLevelType w:val="singleLevel"/>
    <w:tmpl w:val="BBEA7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81783A"/>
    <w:multiLevelType w:val="hybridMultilevel"/>
    <w:tmpl w:val="1B923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331"/>
    <w:rsid w:val="0001221A"/>
    <w:rsid w:val="00014D58"/>
    <w:rsid w:val="00015988"/>
    <w:rsid w:val="00030039"/>
    <w:rsid w:val="00043400"/>
    <w:rsid w:val="000608A8"/>
    <w:rsid w:val="000857A8"/>
    <w:rsid w:val="000978A8"/>
    <w:rsid w:val="000A1250"/>
    <w:rsid w:val="000C1EB6"/>
    <w:rsid w:val="00114075"/>
    <w:rsid w:val="00116BC1"/>
    <w:rsid w:val="00135B24"/>
    <w:rsid w:val="00173F93"/>
    <w:rsid w:val="001B048A"/>
    <w:rsid w:val="001B169C"/>
    <w:rsid w:val="001E0955"/>
    <w:rsid w:val="001E38EC"/>
    <w:rsid w:val="001F0337"/>
    <w:rsid w:val="00211B03"/>
    <w:rsid w:val="002215B3"/>
    <w:rsid w:val="002257B8"/>
    <w:rsid w:val="00244F59"/>
    <w:rsid w:val="0027738F"/>
    <w:rsid w:val="002813E2"/>
    <w:rsid w:val="002A53C8"/>
    <w:rsid w:val="002C3A29"/>
    <w:rsid w:val="00310623"/>
    <w:rsid w:val="0031342A"/>
    <w:rsid w:val="00356600"/>
    <w:rsid w:val="00376C25"/>
    <w:rsid w:val="00376D0D"/>
    <w:rsid w:val="003A76C8"/>
    <w:rsid w:val="00402F20"/>
    <w:rsid w:val="004562DE"/>
    <w:rsid w:val="00463C27"/>
    <w:rsid w:val="0046530C"/>
    <w:rsid w:val="004966CA"/>
    <w:rsid w:val="005113F2"/>
    <w:rsid w:val="00554236"/>
    <w:rsid w:val="005B226F"/>
    <w:rsid w:val="005F5093"/>
    <w:rsid w:val="005F74E6"/>
    <w:rsid w:val="006068B3"/>
    <w:rsid w:val="00610885"/>
    <w:rsid w:val="00624383"/>
    <w:rsid w:val="00643C90"/>
    <w:rsid w:val="006903D3"/>
    <w:rsid w:val="006955DD"/>
    <w:rsid w:val="006C0FA7"/>
    <w:rsid w:val="006E30D5"/>
    <w:rsid w:val="006E611D"/>
    <w:rsid w:val="007026F2"/>
    <w:rsid w:val="00754DA3"/>
    <w:rsid w:val="00756DC3"/>
    <w:rsid w:val="00772DA9"/>
    <w:rsid w:val="00787377"/>
    <w:rsid w:val="0079747A"/>
    <w:rsid w:val="007A30ED"/>
    <w:rsid w:val="007C486B"/>
    <w:rsid w:val="007E1ED1"/>
    <w:rsid w:val="008259A0"/>
    <w:rsid w:val="00886B58"/>
    <w:rsid w:val="00894401"/>
    <w:rsid w:val="008B7676"/>
    <w:rsid w:val="008C1C66"/>
    <w:rsid w:val="008E79DE"/>
    <w:rsid w:val="00913C35"/>
    <w:rsid w:val="00921006"/>
    <w:rsid w:val="00944227"/>
    <w:rsid w:val="009963C0"/>
    <w:rsid w:val="009C2E6E"/>
    <w:rsid w:val="009C637C"/>
    <w:rsid w:val="009D2575"/>
    <w:rsid w:val="00A07EDA"/>
    <w:rsid w:val="00A1452F"/>
    <w:rsid w:val="00A649E7"/>
    <w:rsid w:val="00A801C6"/>
    <w:rsid w:val="00A83C65"/>
    <w:rsid w:val="00B146A2"/>
    <w:rsid w:val="00B33B6E"/>
    <w:rsid w:val="00B4522A"/>
    <w:rsid w:val="00B54A74"/>
    <w:rsid w:val="00B876D1"/>
    <w:rsid w:val="00BA0455"/>
    <w:rsid w:val="00BA0EDE"/>
    <w:rsid w:val="00BA10E2"/>
    <w:rsid w:val="00BA4837"/>
    <w:rsid w:val="00BB086A"/>
    <w:rsid w:val="00BD0CA7"/>
    <w:rsid w:val="00BE27BE"/>
    <w:rsid w:val="00C0703F"/>
    <w:rsid w:val="00C24089"/>
    <w:rsid w:val="00C24330"/>
    <w:rsid w:val="00C567EA"/>
    <w:rsid w:val="00CA15D3"/>
    <w:rsid w:val="00CA2182"/>
    <w:rsid w:val="00CB6140"/>
    <w:rsid w:val="00CD23B8"/>
    <w:rsid w:val="00CE09ED"/>
    <w:rsid w:val="00CE1D7B"/>
    <w:rsid w:val="00CF7E4F"/>
    <w:rsid w:val="00D0610B"/>
    <w:rsid w:val="00D27967"/>
    <w:rsid w:val="00D61DE1"/>
    <w:rsid w:val="00DB45C8"/>
    <w:rsid w:val="00DC3C2A"/>
    <w:rsid w:val="00DD1331"/>
    <w:rsid w:val="00DE1876"/>
    <w:rsid w:val="00DE5554"/>
    <w:rsid w:val="00E026FA"/>
    <w:rsid w:val="00E044D2"/>
    <w:rsid w:val="00E12D03"/>
    <w:rsid w:val="00E14156"/>
    <w:rsid w:val="00E446AC"/>
    <w:rsid w:val="00E45055"/>
    <w:rsid w:val="00E57813"/>
    <w:rsid w:val="00E76D91"/>
    <w:rsid w:val="00EA5EC2"/>
    <w:rsid w:val="00EF685E"/>
    <w:rsid w:val="00F26C29"/>
    <w:rsid w:val="00FC77A8"/>
    <w:rsid w:val="00FC7932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A2851E5-20AB-4803-8F12-DE9FCAF1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A7"/>
    <w:pPr>
      <w:spacing w:before="140" w:after="14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C0FA7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649E7"/>
    <w:pPr>
      <w:keepNext/>
      <w:tabs>
        <w:tab w:val="left" w:pos="4253"/>
        <w:tab w:val="left" w:pos="4395"/>
        <w:tab w:val="left" w:pos="4678"/>
      </w:tabs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A649E7"/>
    <w:pPr>
      <w:keepNext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rsid w:val="006C0F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C0FA7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C0FA7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6C0FA7"/>
    <w:pPr>
      <w:keepNext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0FA7"/>
    <w:pPr>
      <w:tabs>
        <w:tab w:val="center" w:pos="4153"/>
        <w:tab w:val="right" w:pos="8306"/>
      </w:tabs>
    </w:pPr>
  </w:style>
  <w:style w:type="paragraph" w:styleId="Footer">
    <w:name w:val="footer"/>
    <w:basedOn w:val="FootnoteText"/>
    <w:link w:val="FooterChar"/>
    <w:rsid w:val="001F0337"/>
    <w:rPr>
      <w:sz w:val="18"/>
      <w:szCs w:val="18"/>
    </w:rPr>
  </w:style>
  <w:style w:type="character" w:styleId="Strong">
    <w:name w:val="Strong"/>
    <w:basedOn w:val="DefaultParagraphFont"/>
    <w:qFormat/>
    <w:rsid w:val="006C0FA7"/>
    <w:rPr>
      <w:b/>
    </w:rPr>
  </w:style>
  <w:style w:type="paragraph" w:customStyle="1" w:styleId="Header-Info">
    <w:name w:val="Header - Info"/>
    <w:basedOn w:val="Normal"/>
    <w:rsid w:val="006C0FA7"/>
    <w:pPr>
      <w:spacing w:before="0" w:after="0" w:line="240" w:lineRule="auto"/>
    </w:pPr>
    <w:rPr>
      <w:b/>
      <w:sz w:val="18"/>
    </w:rPr>
  </w:style>
  <w:style w:type="paragraph" w:customStyle="1" w:styleId="Header-Field">
    <w:name w:val="Header - Field"/>
    <w:basedOn w:val="Header-Info"/>
    <w:rsid w:val="006C0FA7"/>
    <w:rPr>
      <w:b w:val="0"/>
    </w:rPr>
  </w:style>
  <w:style w:type="character" w:styleId="PageNumber">
    <w:name w:val="page number"/>
    <w:basedOn w:val="DefaultParagraphFont"/>
    <w:rsid w:val="00921006"/>
  </w:style>
  <w:style w:type="paragraph" w:styleId="FootnoteText">
    <w:name w:val="footnote text"/>
    <w:basedOn w:val="Normal"/>
    <w:link w:val="FootnoteTextChar"/>
    <w:semiHidden/>
    <w:rsid w:val="008B7676"/>
  </w:style>
  <w:style w:type="character" w:styleId="FootnoteReference">
    <w:name w:val="footnote reference"/>
    <w:basedOn w:val="DefaultParagraphFont"/>
    <w:semiHidden/>
    <w:rsid w:val="008B7676"/>
    <w:rPr>
      <w:vertAlign w:val="superscript"/>
    </w:rPr>
  </w:style>
  <w:style w:type="character" w:styleId="Hyperlink">
    <w:name w:val="Hyperlink"/>
    <w:basedOn w:val="DefaultParagraphFont"/>
    <w:rsid w:val="00B146A2"/>
    <w:rPr>
      <w:color w:val="000080"/>
      <w:u w:val="single"/>
    </w:rPr>
  </w:style>
  <w:style w:type="paragraph" w:customStyle="1" w:styleId="Quote1">
    <w:name w:val="Quote1"/>
    <w:basedOn w:val="Normal"/>
    <w:rsid w:val="001F0337"/>
    <w:pPr>
      <w:tabs>
        <w:tab w:val="left" w:pos="8789"/>
      </w:tabs>
      <w:ind w:left="284" w:right="571"/>
    </w:pPr>
  </w:style>
  <w:style w:type="character" w:customStyle="1" w:styleId="FootnoteTextChar">
    <w:name w:val="Footnote Text Char"/>
    <w:basedOn w:val="DefaultParagraphFont"/>
    <w:link w:val="FootnoteText"/>
    <w:rsid w:val="001F0337"/>
    <w:rPr>
      <w:rFonts w:ascii="Arial" w:hAnsi="Arial"/>
      <w:lang w:val="en-GB" w:eastAsia="en-GB" w:bidi="ar-SA"/>
    </w:rPr>
  </w:style>
  <w:style w:type="character" w:customStyle="1" w:styleId="FooterChar">
    <w:name w:val="Footer Char"/>
    <w:basedOn w:val="FootnoteTextChar"/>
    <w:link w:val="Footer"/>
    <w:rsid w:val="001F0337"/>
    <w:rPr>
      <w:rFonts w:ascii="Arial" w:hAnsi="Arial"/>
      <w:sz w:val="18"/>
      <w:szCs w:val="18"/>
      <w:lang w:val="en-GB" w:eastAsia="en-GB" w:bidi="ar-SA"/>
    </w:rPr>
  </w:style>
  <w:style w:type="table" w:styleId="TableGrid">
    <w:name w:val="Table Grid"/>
    <w:basedOn w:val="TableNormal"/>
    <w:rsid w:val="00CE09ED"/>
    <w:pPr>
      <w:spacing w:before="140" w:after="14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772D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hayward@renishaw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enishaw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rama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press release</vt:lpstr>
    </vt:vector>
  </TitlesOfParts>
  <Company>Renishaw plc</Company>
  <LinksUpToDate>false</LinksUpToDate>
  <CharactersWithSpaces>2548</CharactersWithSpaces>
  <SharedDoc>false</SharedDoc>
  <HLinks>
    <vt:vector size="24" baseType="variant">
      <vt:variant>
        <vt:i4>4915282</vt:i4>
      </vt:variant>
      <vt:variant>
        <vt:i4>9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6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http://www.renishaw.com/raman</vt:lpwstr>
      </vt:variant>
      <vt:variant>
        <vt:lpwstr/>
      </vt:variant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mailto:ian.hayward@renishaw.com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press release</dc:title>
  <dc:creator>Renishaw</dc:creator>
  <dc:description/>
  <cp:lastModifiedBy>Julia Newman</cp:lastModifiedBy>
  <cp:revision>2</cp:revision>
  <cp:lastPrinted>2015-01-12T13:15:00Z</cp:lastPrinted>
  <dcterms:created xsi:type="dcterms:W3CDTF">2015-02-02T16:14:00Z</dcterms:created>
  <dcterms:modified xsi:type="dcterms:W3CDTF">2015-02-02T16:14:00Z</dcterms:modified>
</cp:coreProperties>
</file>