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4636" w14:textId="33A3E485" w:rsidR="00535A5C" w:rsidRDefault="00A66A1E" w:rsidP="004C68BF">
      <w:pPr>
        <w:spacing w:line="336" w:lineRule="auto"/>
        <w:ind w:right="-554"/>
        <w:rPr>
          <w:rFonts w:ascii="Arial" w:hAnsi="Arial" w:cs="Arial"/>
          <w:i/>
        </w:rPr>
      </w:pPr>
      <w:r>
        <w:rPr>
          <w:rFonts w:ascii="Arial" w:hAnsi="Arial" w:cs="Arial"/>
          <w:i/>
          <w:noProof/>
        </w:rPr>
        <w:t>February</w:t>
      </w:r>
      <w:r w:rsidR="00A351BD">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9584637" w14:textId="77777777"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774C4225" w14:textId="0D4EBE08" w:rsidR="00A351BD" w:rsidRDefault="0075318C" w:rsidP="00A351BD">
      <w:pPr>
        <w:pStyle w:val="Default"/>
        <w:rPr>
          <w:rFonts w:ascii="Arial" w:hAnsi="Arial" w:cs="Arial"/>
          <w:b/>
          <w:bCs/>
          <w:color w:val="auto"/>
        </w:rPr>
      </w:pPr>
      <w:r>
        <w:rPr>
          <w:rFonts w:ascii="Arial" w:hAnsi="Arial" w:cs="Arial"/>
          <w:b/>
          <w:bCs/>
          <w:color w:val="auto"/>
        </w:rPr>
        <w:t xml:space="preserve">Introducing the RESOLUTE™ FS </w:t>
      </w:r>
      <w:r w:rsidR="00A351BD" w:rsidRPr="00A351BD">
        <w:rPr>
          <w:rFonts w:ascii="Arial" w:hAnsi="Arial" w:cs="Arial"/>
          <w:b/>
          <w:bCs/>
          <w:color w:val="auto"/>
        </w:rPr>
        <w:t>encoder</w:t>
      </w:r>
    </w:p>
    <w:p w14:paraId="159AF275" w14:textId="77777777" w:rsidR="0075318C" w:rsidRDefault="0075318C" w:rsidP="00A351BD">
      <w:pPr>
        <w:pStyle w:val="Default"/>
        <w:rPr>
          <w:rFonts w:ascii="Arial" w:hAnsi="Arial" w:cs="Arial"/>
          <w:b/>
          <w:bCs/>
          <w:sz w:val="22"/>
          <w:szCs w:val="22"/>
        </w:rPr>
      </w:pPr>
    </w:p>
    <w:p w14:paraId="1FE4A772" w14:textId="295B1684" w:rsidR="0075318C" w:rsidRPr="0075318C" w:rsidRDefault="0075318C" w:rsidP="0075318C">
      <w:pPr>
        <w:rPr>
          <w:rFonts w:ascii="Arial" w:hAnsi="Arial" w:cs="Arial"/>
        </w:rPr>
      </w:pPr>
      <w:r w:rsidRPr="0075318C">
        <w:rPr>
          <w:rFonts w:ascii="Arial" w:hAnsi="Arial" w:cs="Arial"/>
        </w:rPr>
        <w:t xml:space="preserve">The </w:t>
      </w:r>
      <w:r w:rsidR="00507F9E">
        <w:rPr>
          <w:rFonts w:ascii="Arial" w:hAnsi="Arial" w:cs="Arial"/>
        </w:rPr>
        <w:t xml:space="preserve">RESOLUTE </w:t>
      </w:r>
      <w:r w:rsidRPr="0075318C">
        <w:rPr>
          <w:rFonts w:ascii="Arial" w:hAnsi="Arial" w:cs="Arial"/>
        </w:rPr>
        <w:t>Functional Safety (RESOLUTE FS) optical absolute encoder is based on the design of the award winning RESOLUTE series with elements redesigned to meet FS safety standards. RESOLUTE FS encoder systems are certified as:</w:t>
      </w:r>
    </w:p>
    <w:p w14:paraId="21F88B1F" w14:textId="77777777" w:rsidR="0075318C" w:rsidRPr="0075318C" w:rsidRDefault="0075318C" w:rsidP="0075318C">
      <w:pPr>
        <w:pStyle w:val="ListParagraph"/>
        <w:numPr>
          <w:ilvl w:val="0"/>
          <w:numId w:val="3"/>
        </w:numPr>
        <w:rPr>
          <w:rFonts w:cs="Arial"/>
          <w:sz w:val="20"/>
          <w:szCs w:val="20"/>
        </w:rPr>
      </w:pPr>
      <w:r w:rsidRPr="0075318C">
        <w:rPr>
          <w:rFonts w:cs="Arial"/>
          <w:sz w:val="20"/>
          <w:szCs w:val="20"/>
        </w:rPr>
        <w:t xml:space="preserve">A Category 3 </w:t>
      </w:r>
      <w:proofErr w:type="spellStart"/>
      <w:r w:rsidRPr="0075318C">
        <w:rPr>
          <w:rFonts w:cs="Arial"/>
          <w:sz w:val="20"/>
          <w:szCs w:val="20"/>
        </w:rPr>
        <w:t>PLd</w:t>
      </w:r>
      <w:proofErr w:type="spellEnd"/>
      <w:r w:rsidRPr="0075318C">
        <w:rPr>
          <w:rFonts w:cs="Arial"/>
          <w:sz w:val="20"/>
          <w:szCs w:val="20"/>
        </w:rPr>
        <w:t xml:space="preserve"> rated part against ISO 13849:2015</w:t>
      </w:r>
    </w:p>
    <w:p w14:paraId="56FDDB68" w14:textId="77777777" w:rsidR="0075318C" w:rsidRPr="0075318C" w:rsidRDefault="0075318C" w:rsidP="0075318C">
      <w:pPr>
        <w:pStyle w:val="ListParagraph"/>
        <w:numPr>
          <w:ilvl w:val="0"/>
          <w:numId w:val="3"/>
        </w:numPr>
        <w:rPr>
          <w:rFonts w:cs="Arial"/>
          <w:sz w:val="20"/>
          <w:szCs w:val="20"/>
        </w:rPr>
      </w:pPr>
      <w:r w:rsidRPr="0075318C">
        <w:rPr>
          <w:rFonts w:cs="Arial"/>
          <w:sz w:val="20"/>
          <w:szCs w:val="20"/>
        </w:rPr>
        <w:t xml:space="preserve">Being suitable for use in a SIL2 application against IEC 61508:2010 and </w:t>
      </w:r>
    </w:p>
    <w:p w14:paraId="63D718FE" w14:textId="77777777" w:rsidR="0075318C" w:rsidRPr="0075318C" w:rsidRDefault="0075318C" w:rsidP="0075318C">
      <w:pPr>
        <w:pStyle w:val="ListParagraph"/>
        <w:rPr>
          <w:rFonts w:cs="Arial"/>
          <w:sz w:val="20"/>
          <w:szCs w:val="20"/>
        </w:rPr>
      </w:pPr>
      <w:r w:rsidRPr="0075318C">
        <w:rPr>
          <w:rFonts w:eastAsia="Calibri" w:cs="Arial"/>
          <w:sz w:val="20"/>
          <w:szCs w:val="20"/>
        </w:rPr>
        <w:t>IEC 61800-5-2:2007</w:t>
      </w:r>
    </w:p>
    <w:p w14:paraId="4DE6BDE9" w14:textId="0FF95EE3" w:rsidR="0075318C" w:rsidRDefault="0075318C" w:rsidP="0075318C">
      <w:pPr>
        <w:rPr>
          <w:rFonts w:ascii="Arial" w:hAnsi="Arial" w:cs="Arial"/>
        </w:rPr>
      </w:pPr>
      <w:r w:rsidRPr="0075318C">
        <w:rPr>
          <w:rFonts w:ascii="Arial" w:hAnsi="Arial" w:cs="Arial"/>
        </w:rPr>
        <w:t>RESOLUTE FS encoders also achieve the higher level of FS EMC performance defined by IEC 61326-3-1:2008 and meet the same general environmental performance limits as the standard RESOLUTE series. Much of the redesign enhances monitoring and diagnostic coverage. The original design of the RESOLUTE series included a position integrity check which greatly simplified the process of developing a full FS derivative.</w:t>
      </w:r>
    </w:p>
    <w:p w14:paraId="6CB9E4AF" w14:textId="77777777" w:rsidR="00507F9E" w:rsidRPr="0075318C" w:rsidRDefault="00507F9E" w:rsidP="0075318C">
      <w:pPr>
        <w:rPr>
          <w:rFonts w:ascii="Arial" w:hAnsi="Arial" w:cs="Arial"/>
        </w:rPr>
      </w:pPr>
    </w:p>
    <w:p w14:paraId="4F8A2ED0" w14:textId="514273EB" w:rsidR="00507F9E" w:rsidRPr="00A351BD" w:rsidRDefault="00507F9E" w:rsidP="00507F9E">
      <w:pPr>
        <w:pStyle w:val="Default"/>
        <w:rPr>
          <w:rFonts w:ascii="Arial" w:hAnsi="Arial" w:cs="Arial"/>
          <w:b/>
          <w:bCs/>
          <w:color w:val="auto"/>
        </w:rPr>
      </w:pPr>
      <w:r>
        <w:rPr>
          <w:rFonts w:ascii="Arial" w:hAnsi="Arial" w:cs="Arial"/>
          <w:b/>
          <w:bCs/>
          <w:sz w:val="22"/>
          <w:szCs w:val="22"/>
        </w:rPr>
        <w:t>RESOLUTE overview</w:t>
      </w:r>
    </w:p>
    <w:p w14:paraId="0DAA0B8F" w14:textId="77777777" w:rsidR="00507F9E" w:rsidRDefault="00507F9E" w:rsidP="0075318C">
      <w:pPr>
        <w:rPr>
          <w:rFonts w:ascii="Arial" w:hAnsi="Arial" w:cs="Arial"/>
        </w:rPr>
      </w:pPr>
    </w:p>
    <w:p w14:paraId="2810743B" w14:textId="7D2EF641" w:rsidR="0075318C" w:rsidRDefault="0075318C" w:rsidP="0075318C">
      <w:pPr>
        <w:rPr>
          <w:rFonts w:ascii="Arial" w:hAnsi="Arial" w:cs="Arial"/>
        </w:rPr>
      </w:pPr>
      <w:r w:rsidRPr="0075318C">
        <w:rPr>
          <w:rFonts w:ascii="Arial" w:hAnsi="Arial" w:cs="Arial"/>
        </w:rPr>
        <w:t xml:space="preserve">The RESOLUTE FS encoder is a true absolute encoder system designed to provide position feedback for the motion control of linear and rotary axes. It consists of three elements: a precision graduated scale, an electro-optical </w:t>
      </w:r>
      <w:proofErr w:type="spellStart"/>
      <w:r w:rsidRPr="0075318C">
        <w:rPr>
          <w:rFonts w:ascii="Arial" w:hAnsi="Arial" w:cs="Arial"/>
        </w:rPr>
        <w:t>readhead</w:t>
      </w:r>
      <w:proofErr w:type="spellEnd"/>
      <w:r w:rsidRPr="0075318C">
        <w:rPr>
          <w:rFonts w:ascii="Arial" w:hAnsi="Arial" w:cs="Arial"/>
        </w:rPr>
        <w:t xml:space="preserve"> and a compatible interface. The RESOLUTE FS </w:t>
      </w:r>
      <w:proofErr w:type="spellStart"/>
      <w:r w:rsidRPr="0075318C">
        <w:rPr>
          <w:rFonts w:ascii="Arial" w:hAnsi="Arial" w:cs="Arial"/>
        </w:rPr>
        <w:t>readhead</w:t>
      </w:r>
      <w:proofErr w:type="spellEnd"/>
      <w:r w:rsidRPr="0075318C">
        <w:rPr>
          <w:rFonts w:ascii="Arial" w:hAnsi="Arial" w:cs="Arial"/>
        </w:rPr>
        <w:t xml:space="preserve"> is available with RELA </w:t>
      </w:r>
      <w:proofErr w:type="spellStart"/>
      <w:r w:rsidRPr="0075318C">
        <w:rPr>
          <w:rFonts w:ascii="Arial" w:hAnsi="Arial" w:cs="Arial"/>
        </w:rPr>
        <w:t>ZeroMet</w:t>
      </w:r>
      <w:proofErr w:type="spellEnd"/>
      <w:r w:rsidRPr="0075318C">
        <w:rPr>
          <w:rFonts w:ascii="Arial" w:hAnsi="Arial" w:cs="Arial"/>
        </w:rPr>
        <w:t>™ high-accuracy spar scale, RSLA stainless-steel spar scale, RTLA tape scale, RESA rotary scale or REXA high-accuracy rotary scale. The REXA ring can also be used with a dual input version of Renishaw’s Drive-</w:t>
      </w:r>
      <w:proofErr w:type="spellStart"/>
      <w:r w:rsidRPr="0075318C">
        <w:rPr>
          <w:rFonts w:ascii="Arial" w:hAnsi="Arial" w:cs="Arial"/>
        </w:rPr>
        <w:t>CLiQ</w:t>
      </w:r>
      <w:proofErr w:type="spellEnd"/>
      <w:r w:rsidRPr="0075318C">
        <w:rPr>
          <w:rFonts w:ascii="Arial" w:hAnsi="Arial" w:cs="Arial"/>
        </w:rPr>
        <w:t xml:space="preserve"> interface, designed for use with two RESOLUTE </w:t>
      </w:r>
      <w:proofErr w:type="spellStart"/>
      <w:r w:rsidRPr="0075318C">
        <w:rPr>
          <w:rFonts w:ascii="Arial" w:hAnsi="Arial" w:cs="Arial"/>
        </w:rPr>
        <w:t>readheads</w:t>
      </w:r>
      <w:proofErr w:type="spellEnd"/>
      <w:r w:rsidRPr="0075318C">
        <w:rPr>
          <w:rFonts w:ascii="Arial" w:hAnsi="Arial" w:cs="Arial"/>
        </w:rPr>
        <w:t>, to compensate for the effect of bearing wander by elimination of all ‘odd’ error harmonics including eccentricity.</w:t>
      </w:r>
    </w:p>
    <w:p w14:paraId="6A7B1C4B" w14:textId="77777777" w:rsidR="00507F9E" w:rsidRPr="0075318C" w:rsidRDefault="00507F9E" w:rsidP="0075318C">
      <w:pPr>
        <w:rPr>
          <w:rFonts w:ascii="Arial" w:hAnsi="Arial" w:cs="Arial"/>
        </w:rPr>
      </w:pPr>
    </w:p>
    <w:p w14:paraId="1A47B415" w14:textId="4CF7F6D4" w:rsidR="0075318C" w:rsidRDefault="0075318C" w:rsidP="0075318C">
      <w:pPr>
        <w:rPr>
          <w:rFonts w:ascii="Arial" w:hAnsi="Arial" w:cs="Arial"/>
        </w:rPr>
      </w:pPr>
      <w:r w:rsidRPr="0075318C">
        <w:rPr>
          <w:rFonts w:ascii="Arial" w:hAnsi="Arial" w:cs="Arial"/>
        </w:rPr>
        <w:t xml:space="preserve">RESOLUTE series encoders capture a 1-dimentional image of a barcode-like pattern on the scale and perform a type of image processing in order to extract position data. The position calculated by the RESOLUTE FS encoder is divided into two parts: a coarse position and a fine position in-between the scale period (≤30 µm). First, the encoder determines these values based on the scale data alone. A secondary coarse position is then determined independently by a position checking algorithm*, wherein the two most recent good readings are extrapolated in time to find the current position. If the measured coarse reading and the extrapolated values differ by more than half the scale period, then an error counter is incremented. Once the error counter reaches five, an error flag is sent to the controller which stops the machine. The RESOLUTE FS encoder variant also double checks the above process and includes a position validation check in order to satisfy IEC 61508. Position data is sent from the </w:t>
      </w:r>
      <w:proofErr w:type="spellStart"/>
      <w:r w:rsidRPr="0075318C">
        <w:rPr>
          <w:rFonts w:ascii="Arial" w:hAnsi="Arial" w:cs="Arial"/>
        </w:rPr>
        <w:t>readhead</w:t>
      </w:r>
      <w:proofErr w:type="spellEnd"/>
      <w:r w:rsidRPr="0075318C">
        <w:rPr>
          <w:rFonts w:ascii="Arial" w:hAnsi="Arial" w:cs="Arial"/>
        </w:rPr>
        <w:t xml:space="preserve"> via a custom output protocol and the position validation check confirms that the data arriving at the interface agrees with the values that have been internally generated in the </w:t>
      </w:r>
      <w:proofErr w:type="spellStart"/>
      <w:r w:rsidRPr="0075318C">
        <w:rPr>
          <w:rFonts w:ascii="Arial" w:hAnsi="Arial" w:cs="Arial"/>
        </w:rPr>
        <w:t>readhead</w:t>
      </w:r>
      <w:proofErr w:type="spellEnd"/>
      <w:r w:rsidRPr="0075318C">
        <w:rPr>
          <w:rFonts w:ascii="Arial" w:hAnsi="Arial" w:cs="Arial"/>
        </w:rPr>
        <w:t>.</w:t>
      </w:r>
    </w:p>
    <w:p w14:paraId="5FC500E6" w14:textId="23C06840" w:rsidR="0075318C" w:rsidRDefault="0075318C" w:rsidP="0075318C">
      <w:pPr>
        <w:rPr>
          <w:rFonts w:ascii="Arial" w:hAnsi="Arial" w:cs="Arial"/>
        </w:rPr>
      </w:pPr>
    </w:p>
    <w:p w14:paraId="792B2ED3" w14:textId="77777777" w:rsidR="0075318C" w:rsidRPr="0075318C" w:rsidRDefault="0075318C" w:rsidP="0075318C">
      <w:pPr>
        <w:rPr>
          <w:rFonts w:ascii="Arial" w:hAnsi="Arial" w:cs="Arial"/>
        </w:rPr>
      </w:pPr>
      <w:r w:rsidRPr="0075318C">
        <w:rPr>
          <w:rFonts w:ascii="Arial" w:hAnsi="Arial" w:cs="Arial"/>
        </w:rPr>
        <w:t xml:space="preserve">RESOLUTE FS scales have also been designed to minimise positional disturbance during operation. As a result, linear scales are applied to machine substrates with adhesive and rotary scales are installed in strict compliance with the installation instructions in the RESOLUTE FS installation guide and safety manual (L-9796-9134). Mounting instructions for the encoder </w:t>
      </w:r>
      <w:proofErr w:type="spellStart"/>
      <w:r w:rsidRPr="0075318C">
        <w:rPr>
          <w:rFonts w:ascii="Arial" w:hAnsi="Arial" w:cs="Arial"/>
        </w:rPr>
        <w:t>readhead</w:t>
      </w:r>
      <w:proofErr w:type="spellEnd"/>
      <w:r w:rsidRPr="0075318C">
        <w:rPr>
          <w:rFonts w:ascii="Arial" w:hAnsi="Arial" w:cs="Arial"/>
        </w:rPr>
        <w:t xml:space="preserve"> also specify the recommended screw type and a thread locking compound. These measures combine to ensure the correct reporting of position at all times.</w:t>
      </w:r>
    </w:p>
    <w:p w14:paraId="276C19EC" w14:textId="77777777" w:rsidR="0075318C" w:rsidRPr="0075318C" w:rsidRDefault="0075318C" w:rsidP="0075318C">
      <w:pPr>
        <w:rPr>
          <w:rFonts w:ascii="Arial" w:hAnsi="Arial" w:cs="Arial"/>
        </w:rPr>
      </w:pPr>
    </w:p>
    <w:p w14:paraId="2958463C" w14:textId="77777777" w:rsidR="00524281" w:rsidRPr="00A351BD" w:rsidRDefault="00524281" w:rsidP="004C68BF">
      <w:pPr>
        <w:spacing w:line="336" w:lineRule="auto"/>
        <w:ind w:right="-554"/>
        <w:rPr>
          <w:rFonts w:ascii="Arial" w:hAnsi="Arial" w:cs="Arial"/>
        </w:rPr>
      </w:pPr>
    </w:p>
    <w:p w14:paraId="01817926" w14:textId="34F58E08" w:rsidR="0075318C" w:rsidRPr="0078174A" w:rsidRDefault="0075318C" w:rsidP="0075318C">
      <w:pPr>
        <w:pStyle w:val="Heading1"/>
        <w:rPr>
          <w:noProof/>
          <w:sz w:val="22"/>
          <w:szCs w:val="22"/>
        </w:rPr>
      </w:pPr>
      <w:r>
        <w:rPr>
          <w:noProof/>
        </w:rPr>
        <w:tab/>
      </w:r>
      <w:r w:rsidRPr="0078174A">
        <w:rPr>
          <w:noProof/>
          <w:sz w:val="22"/>
          <w:szCs w:val="22"/>
        </w:rPr>
        <w:t>Primary applications</w:t>
      </w:r>
    </w:p>
    <w:p w14:paraId="4B56A418" w14:textId="77777777" w:rsidR="0075318C" w:rsidRPr="0075318C" w:rsidRDefault="0075318C" w:rsidP="0075318C">
      <w:pPr>
        <w:rPr>
          <w:lang w:val="en-US"/>
        </w:rPr>
      </w:pPr>
    </w:p>
    <w:p w14:paraId="3B5E1D69" w14:textId="7D65F069" w:rsidR="0075318C" w:rsidRDefault="0075318C" w:rsidP="0075318C">
      <w:pPr>
        <w:pStyle w:val="Heading2"/>
        <w:rPr>
          <w:rFonts w:ascii="Arial" w:hAnsi="Arial" w:cs="Arial"/>
          <w:b/>
          <w:noProof/>
          <w:color w:val="000000" w:themeColor="text1"/>
          <w:sz w:val="20"/>
          <w:szCs w:val="20"/>
        </w:rPr>
      </w:pPr>
      <w:r w:rsidRPr="0078174A">
        <w:rPr>
          <w:rFonts w:ascii="Arial" w:hAnsi="Arial" w:cs="Arial"/>
          <w:b/>
          <w:noProof/>
          <w:color w:val="000000" w:themeColor="text1"/>
          <w:sz w:val="20"/>
          <w:szCs w:val="20"/>
        </w:rPr>
        <w:t xml:space="preserve">Power drive </w:t>
      </w:r>
      <w:r w:rsidRPr="0078174A">
        <w:rPr>
          <w:rFonts w:ascii="Arial" w:hAnsi="Arial" w:cs="Arial"/>
          <w:b/>
          <w:color w:val="000000" w:themeColor="text1"/>
          <w:sz w:val="20"/>
          <w:szCs w:val="20"/>
        </w:rPr>
        <w:t>system (PDS)</w:t>
      </w:r>
      <w:r w:rsidRPr="0078174A">
        <w:rPr>
          <w:rFonts w:ascii="Arial" w:hAnsi="Arial" w:cs="Arial"/>
          <w:b/>
          <w:noProof/>
          <w:color w:val="000000" w:themeColor="text1"/>
          <w:sz w:val="20"/>
          <w:szCs w:val="20"/>
        </w:rPr>
        <w:t xml:space="preserve"> use as defined by IEC 61800-5-2:2007</w:t>
      </w:r>
    </w:p>
    <w:p w14:paraId="4AC4D784" w14:textId="77777777" w:rsidR="00507F9E" w:rsidRPr="00507F9E" w:rsidRDefault="00507F9E" w:rsidP="00507F9E"/>
    <w:p w14:paraId="249B0882" w14:textId="77777777" w:rsidR="0075318C" w:rsidRPr="0075318C" w:rsidRDefault="0075318C" w:rsidP="0075318C">
      <w:pPr>
        <w:rPr>
          <w:rFonts w:ascii="Arial" w:hAnsi="Arial" w:cs="Arial"/>
          <w:noProof/>
          <w:color w:val="000000" w:themeColor="text1"/>
        </w:rPr>
      </w:pPr>
      <w:r w:rsidRPr="0075318C">
        <w:rPr>
          <w:rFonts w:ascii="Arial" w:hAnsi="Arial" w:cs="Arial"/>
        </w:rPr>
        <w:t>Encoders are essential for the correct operation of many obligatory safety functions in CNC machine tool applications and others where operators risk personal injury from heavy machinery. RESOLUTE FS encoders can be integrated into the safety control systems of adjustable-speed Power Drive Systems (Safety Related) – PDS (SR)s – to support the following safety functions:</w:t>
      </w:r>
    </w:p>
    <w:p w14:paraId="30A4FA4C" w14:textId="432E572A" w:rsidR="00A351BD" w:rsidRPr="0075318C" w:rsidRDefault="00A351BD" w:rsidP="004C68BF">
      <w:pPr>
        <w:spacing w:line="336" w:lineRule="auto"/>
        <w:ind w:right="-554"/>
        <w:rPr>
          <w:rFonts w:ascii="Arial" w:hAnsi="Arial" w:cs="Arial"/>
          <w:b/>
        </w:rPr>
      </w:pPr>
    </w:p>
    <w:p w14:paraId="63D2BE99" w14:textId="58B5E56F" w:rsidR="0075318C" w:rsidRPr="0075318C" w:rsidRDefault="0075318C" w:rsidP="004C68BF">
      <w:pPr>
        <w:spacing w:line="336" w:lineRule="auto"/>
        <w:ind w:right="-554"/>
        <w:rPr>
          <w:rFonts w:ascii="Arial" w:hAnsi="Arial" w:cs="Arial"/>
          <w:b/>
        </w:rPr>
      </w:pPr>
      <w:r w:rsidRPr="0075318C">
        <w:rPr>
          <w:rFonts w:ascii="Arial" w:hAnsi="Arial" w:cs="Arial"/>
          <w:b/>
        </w:rPr>
        <w:t>Safety function</w:t>
      </w:r>
    </w:p>
    <w:p w14:paraId="35F0C0F7"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stop 1 (SS1)          </w:t>
      </w:r>
    </w:p>
    <w:p w14:paraId="70278969"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stop 2 (SS2)          </w:t>
      </w:r>
    </w:p>
    <w:p w14:paraId="37CF7E80"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operating stop (SOS)</w:t>
      </w:r>
    </w:p>
    <w:p w14:paraId="2E34C9FF"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limited acceleration (SLA)</w:t>
      </w:r>
    </w:p>
    <w:p w14:paraId="3A35F8C7"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acceleration range (SAR)</w:t>
      </w:r>
    </w:p>
    <w:p w14:paraId="4395CC86"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limited speed (SLS)</w:t>
      </w:r>
    </w:p>
    <w:p w14:paraId="64D40F89"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speed range (SSR)</w:t>
      </w:r>
    </w:p>
    <w:p w14:paraId="3664F953"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Safely limited position (SLP)</w:t>
      </w:r>
    </w:p>
    <w:p w14:paraId="5ABDB6F9"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Safely limited increment (SLI)</w:t>
      </w:r>
    </w:p>
    <w:p w14:paraId="3B2155C9"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direction (SDI)</w:t>
      </w:r>
    </w:p>
    <w:p w14:paraId="08E4C602"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brake control (SBC)</w:t>
      </w:r>
    </w:p>
    <w:p w14:paraId="4B8CE0DD"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cam (SCA)</w:t>
      </w:r>
    </w:p>
    <w:p w14:paraId="769B6994" w14:textId="77777777" w:rsidR="0075318C" w:rsidRPr="0075318C" w:rsidRDefault="0075318C" w:rsidP="0075318C">
      <w:pPr>
        <w:numPr>
          <w:ilvl w:val="0"/>
          <w:numId w:val="4"/>
        </w:numPr>
        <w:spacing w:before="100" w:beforeAutospacing="1" w:after="100" w:afterAutospacing="1"/>
        <w:ind w:left="900"/>
        <w:rPr>
          <w:rFonts w:ascii="Arial" w:hAnsi="Arial" w:cs="Arial"/>
          <w:color w:val="211A15"/>
        </w:rPr>
      </w:pPr>
      <w:r w:rsidRPr="0075318C">
        <w:rPr>
          <w:rFonts w:ascii="Arial" w:hAnsi="Arial" w:cs="Arial"/>
          <w:color w:val="211A15"/>
        </w:rPr>
        <w:t>Safe speed monitor (SSM)</w:t>
      </w:r>
    </w:p>
    <w:p w14:paraId="63353F5A" w14:textId="77777777" w:rsidR="0075318C" w:rsidRPr="0075318C" w:rsidRDefault="0075318C" w:rsidP="0075318C">
      <w:pPr>
        <w:pStyle w:val="NormalWeb"/>
        <w:rPr>
          <w:rFonts w:ascii="Arial" w:hAnsi="Arial" w:cs="Arial"/>
          <w:color w:val="211A15"/>
          <w:sz w:val="20"/>
          <w:szCs w:val="20"/>
        </w:rPr>
      </w:pPr>
      <w:r w:rsidRPr="0075318C">
        <w:rPr>
          <w:rFonts w:ascii="Arial" w:hAnsi="Arial" w:cs="Arial"/>
          <w:color w:val="211A15"/>
          <w:sz w:val="20"/>
          <w:szCs w:val="20"/>
        </w:rPr>
        <w:t>In addition to enhanced safety, end-users also benefit from increased machine productivity and availability as they will no longer need to power down machinery whenever there is direct human interaction.</w:t>
      </w:r>
    </w:p>
    <w:p w14:paraId="0CCC465A" w14:textId="77777777" w:rsidR="0075318C" w:rsidRPr="0078174A" w:rsidRDefault="0075318C" w:rsidP="0075318C">
      <w:pPr>
        <w:pStyle w:val="Heading4"/>
        <w:rPr>
          <w:rFonts w:ascii="Arial" w:hAnsi="Arial" w:cs="Arial"/>
          <w:b/>
          <w:i w:val="0"/>
          <w:color w:val="4C4743"/>
        </w:rPr>
      </w:pPr>
      <w:r w:rsidRPr="0078174A">
        <w:rPr>
          <w:rFonts w:ascii="Arial" w:hAnsi="Arial" w:cs="Arial"/>
          <w:b/>
          <w:i w:val="0"/>
          <w:color w:val="000000" w:themeColor="text1"/>
        </w:rPr>
        <w:t>Robot control safety systems that require ISO 13849:2015</w:t>
      </w:r>
    </w:p>
    <w:p w14:paraId="13B39854" w14:textId="77777777" w:rsidR="0075318C" w:rsidRPr="0075318C" w:rsidRDefault="0075318C" w:rsidP="0075318C">
      <w:pPr>
        <w:pStyle w:val="NormalWeb"/>
        <w:rPr>
          <w:rFonts w:ascii="Arial" w:hAnsi="Arial" w:cs="Arial"/>
          <w:color w:val="211A15"/>
          <w:sz w:val="20"/>
          <w:szCs w:val="20"/>
        </w:rPr>
      </w:pPr>
      <w:r w:rsidRPr="0075318C">
        <w:rPr>
          <w:rFonts w:ascii="Arial" w:hAnsi="Arial" w:cs="Arial"/>
          <w:color w:val="211A15"/>
          <w:sz w:val="20"/>
          <w:szCs w:val="20"/>
        </w:rPr>
        <w:t xml:space="preserve">RESOLUTE FS encoders can also be integrated into </w:t>
      </w:r>
      <w:proofErr w:type="spellStart"/>
      <w:r w:rsidRPr="0075318C">
        <w:rPr>
          <w:rFonts w:ascii="Arial" w:hAnsi="Arial" w:cs="Arial"/>
          <w:color w:val="211A15"/>
          <w:sz w:val="20"/>
          <w:szCs w:val="20"/>
        </w:rPr>
        <w:t>PLd</w:t>
      </w:r>
      <w:proofErr w:type="spellEnd"/>
      <w:r w:rsidRPr="0075318C">
        <w:rPr>
          <w:rFonts w:ascii="Arial" w:hAnsi="Arial" w:cs="Arial"/>
          <w:color w:val="211A15"/>
          <w:sz w:val="20"/>
          <w:szCs w:val="20"/>
        </w:rPr>
        <w:t xml:space="preserve"> rated safety control systems of the robot types defined by the following standards:</w:t>
      </w:r>
    </w:p>
    <w:p w14:paraId="6BE799BE" w14:textId="77777777" w:rsidR="0075318C" w:rsidRPr="0078174A" w:rsidRDefault="0075318C" w:rsidP="0078174A">
      <w:pPr>
        <w:pStyle w:val="ListParagraph"/>
        <w:numPr>
          <w:ilvl w:val="0"/>
          <w:numId w:val="11"/>
        </w:numPr>
        <w:spacing w:before="100" w:beforeAutospacing="1" w:after="100" w:afterAutospacing="1"/>
        <w:rPr>
          <w:rFonts w:cs="Arial"/>
          <w:color w:val="211A15"/>
        </w:rPr>
      </w:pPr>
      <w:r w:rsidRPr="0078174A">
        <w:rPr>
          <w:rStyle w:val="Strong"/>
          <w:rFonts w:cs="Arial"/>
          <w:color w:val="211A15"/>
          <w:sz w:val="20"/>
          <w:szCs w:val="20"/>
        </w:rPr>
        <w:t>Personal care robots against ISO 13482:2014</w:t>
      </w:r>
    </w:p>
    <w:p w14:paraId="2F01F5F3" w14:textId="77777777" w:rsidR="0075318C" w:rsidRPr="0075318C" w:rsidRDefault="0075318C" w:rsidP="0075318C">
      <w:pPr>
        <w:rPr>
          <w:rFonts w:ascii="Arial" w:hAnsi="Arial" w:cs="Arial"/>
          <w:color w:val="211A15"/>
        </w:rPr>
      </w:pPr>
      <w:r w:rsidRPr="0075318C">
        <w:rPr>
          <w:rFonts w:ascii="Arial" w:hAnsi="Arial" w:cs="Arial"/>
          <w:color w:val="211A15"/>
        </w:rPr>
        <w:t>Robots that perform basic household tasks, personal assistance and transportation.</w:t>
      </w:r>
    </w:p>
    <w:p w14:paraId="794542B7" w14:textId="77777777" w:rsidR="0075318C" w:rsidRPr="0075318C" w:rsidRDefault="0075318C" w:rsidP="0075318C">
      <w:pPr>
        <w:numPr>
          <w:ilvl w:val="0"/>
          <w:numId w:val="6"/>
        </w:numPr>
        <w:spacing w:before="100" w:beforeAutospacing="1" w:after="100" w:afterAutospacing="1"/>
        <w:rPr>
          <w:rFonts w:ascii="Arial" w:hAnsi="Arial" w:cs="Arial"/>
          <w:color w:val="211A15"/>
        </w:rPr>
      </w:pPr>
      <w:r w:rsidRPr="0075318C">
        <w:rPr>
          <w:rStyle w:val="Strong"/>
          <w:rFonts w:ascii="Arial" w:hAnsi="Arial" w:cs="Arial"/>
          <w:color w:val="211A15"/>
        </w:rPr>
        <w:t>Industrial robots against ISO 10218-1:2011</w:t>
      </w:r>
    </w:p>
    <w:p w14:paraId="711D65B5" w14:textId="77777777" w:rsidR="0075318C" w:rsidRPr="0075318C" w:rsidRDefault="0075318C" w:rsidP="0075318C">
      <w:pPr>
        <w:rPr>
          <w:rFonts w:ascii="Arial" w:hAnsi="Arial" w:cs="Arial"/>
          <w:color w:val="211A15"/>
        </w:rPr>
      </w:pPr>
      <w:r w:rsidRPr="0075318C">
        <w:rPr>
          <w:rFonts w:ascii="Arial" w:hAnsi="Arial" w:cs="Arial"/>
          <w:color w:val="211A15"/>
        </w:rPr>
        <w:t>Robots that operate in an industrial environment, for example robotic arms in automotive manufacturing.</w:t>
      </w:r>
    </w:p>
    <w:p w14:paraId="0FD3BB15" w14:textId="77777777" w:rsidR="0075318C" w:rsidRPr="0075318C" w:rsidRDefault="0075318C" w:rsidP="0075318C">
      <w:pPr>
        <w:numPr>
          <w:ilvl w:val="0"/>
          <w:numId w:val="7"/>
        </w:numPr>
        <w:spacing w:before="100" w:beforeAutospacing="1" w:after="100" w:afterAutospacing="1"/>
        <w:rPr>
          <w:rFonts w:ascii="Arial" w:hAnsi="Arial" w:cs="Arial"/>
          <w:color w:val="211A15"/>
        </w:rPr>
      </w:pPr>
      <w:r w:rsidRPr="0075318C">
        <w:rPr>
          <w:rStyle w:val="Strong"/>
          <w:rFonts w:ascii="Arial" w:hAnsi="Arial" w:cs="Arial"/>
          <w:color w:val="211A15"/>
        </w:rPr>
        <w:t>Service robots against ISO 18646-1:2016</w:t>
      </w:r>
    </w:p>
    <w:p w14:paraId="48BCBE83" w14:textId="77777777" w:rsidR="0075318C" w:rsidRPr="0075318C" w:rsidRDefault="0075318C" w:rsidP="0075318C">
      <w:pPr>
        <w:rPr>
          <w:rFonts w:ascii="Arial" w:hAnsi="Arial" w:cs="Arial"/>
          <w:color w:val="211A15"/>
        </w:rPr>
      </w:pPr>
      <w:r w:rsidRPr="0075318C">
        <w:rPr>
          <w:rFonts w:ascii="Arial" w:hAnsi="Arial" w:cs="Arial"/>
          <w:color w:val="211A15"/>
        </w:rPr>
        <w:t>Robots that perform useful tasks for humans or equipment excluding industrial automation applications.</w:t>
      </w:r>
    </w:p>
    <w:p w14:paraId="0BE5960A" w14:textId="77777777" w:rsidR="0075318C" w:rsidRPr="0075318C" w:rsidRDefault="0075318C" w:rsidP="0075318C">
      <w:pPr>
        <w:numPr>
          <w:ilvl w:val="0"/>
          <w:numId w:val="8"/>
        </w:numPr>
        <w:spacing w:before="100" w:beforeAutospacing="1" w:after="100" w:afterAutospacing="1"/>
        <w:rPr>
          <w:rFonts w:ascii="Arial" w:hAnsi="Arial" w:cs="Arial"/>
          <w:color w:val="211A15"/>
        </w:rPr>
      </w:pPr>
      <w:r w:rsidRPr="0075318C">
        <w:rPr>
          <w:rStyle w:val="Strong"/>
          <w:rFonts w:ascii="Arial" w:hAnsi="Arial" w:cs="Arial"/>
          <w:color w:val="211A15"/>
        </w:rPr>
        <w:t>Medical robots – Please contact your local Renishaw salesman to discuss.</w:t>
      </w:r>
    </w:p>
    <w:p w14:paraId="01B9A713" w14:textId="46AFCCBF" w:rsidR="0075318C" w:rsidRDefault="0075318C" w:rsidP="0075318C">
      <w:pPr>
        <w:rPr>
          <w:rFonts w:ascii="Arial" w:hAnsi="Arial" w:cs="Arial"/>
          <w:color w:val="211A15"/>
        </w:rPr>
      </w:pPr>
      <w:r w:rsidRPr="0075318C">
        <w:rPr>
          <w:rFonts w:ascii="Arial" w:hAnsi="Arial" w:cs="Arial"/>
          <w:color w:val="211A15"/>
        </w:rPr>
        <w:t xml:space="preserve">Robots that are applied in the medical sciences. They include, but are not limited to, surgical robots such as Renishaw's </w:t>
      </w:r>
      <w:proofErr w:type="spellStart"/>
      <w:r w:rsidRPr="0075318C">
        <w:rPr>
          <w:rFonts w:ascii="Arial" w:hAnsi="Arial" w:cs="Arial"/>
          <w:color w:val="211A15"/>
        </w:rPr>
        <w:t>neuromate</w:t>
      </w:r>
      <w:proofErr w:type="spellEnd"/>
      <w:r w:rsidRPr="0075318C">
        <w:rPr>
          <w:rFonts w:ascii="Arial" w:hAnsi="Arial" w:cs="Arial"/>
          <w:color w:val="211A15"/>
        </w:rPr>
        <w:t>® stereotactic robot.</w:t>
      </w:r>
    </w:p>
    <w:p w14:paraId="614E99A5" w14:textId="77777777" w:rsidR="0078174A" w:rsidRDefault="0078174A" w:rsidP="0075318C">
      <w:pPr>
        <w:rPr>
          <w:rFonts w:ascii="Arial" w:hAnsi="Arial" w:cs="Arial"/>
          <w:color w:val="211A15"/>
        </w:rPr>
      </w:pPr>
    </w:p>
    <w:p w14:paraId="3E0766E2" w14:textId="3D02B2C2" w:rsidR="0078174A" w:rsidRDefault="0078174A" w:rsidP="0075318C">
      <w:pPr>
        <w:rPr>
          <w:rFonts w:ascii="Arial" w:hAnsi="Arial" w:cs="Arial"/>
          <w:color w:val="211A15"/>
        </w:rPr>
      </w:pPr>
    </w:p>
    <w:p w14:paraId="4A157A97" w14:textId="77777777" w:rsidR="0078174A" w:rsidRDefault="0078174A" w:rsidP="0078174A">
      <w:pPr>
        <w:pStyle w:val="Heading1"/>
        <w:rPr>
          <w:noProof/>
          <w:sz w:val="22"/>
          <w:szCs w:val="22"/>
        </w:rPr>
      </w:pPr>
      <w:r w:rsidRPr="0078174A">
        <w:rPr>
          <w:noProof/>
          <w:sz w:val="22"/>
          <w:szCs w:val="22"/>
        </w:rPr>
        <w:lastRenderedPageBreak/>
        <w:tab/>
      </w:r>
    </w:p>
    <w:p w14:paraId="470CFAB9" w14:textId="77777777" w:rsidR="0078174A" w:rsidRDefault="0078174A" w:rsidP="0078174A">
      <w:pPr>
        <w:pStyle w:val="Heading1"/>
        <w:rPr>
          <w:noProof/>
          <w:sz w:val="22"/>
          <w:szCs w:val="22"/>
        </w:rPr>
      </w:pPr>
    </w:p>
    <w:p w14:paraId="668A0016" w14:textId="57FB70F5" w:rsidR="0078174A" w:rsidRPr="0078174A" w:rsidRDefault="0078174A" w:rsidP="0078174A">
      <w:pPr>
        <w:pStyle w:val="Heading1"/>
        <w:rPr>
          <w:noProof/>
          <w:sz w:val="22"/>
          <w:szCs w:val="22"/>
        </w:rPr>
      </w:pPr>
      <w:r>
        <w:rPr>
          <w:noProof/>
          <w:sz w:val="22"/>
          <w:szCs w:val="22"/>
        </w:rPr>
        <w:tab/>
      </w:r>
      <w:r w:rsidRPr="0078174A">
        <w:rPr>
          <w:noProof/>
          <w:sz w:val="22"/>
          <w:szCs w:val="22"/>
        </w:rPr>
        <w:t>FS data for use by safety system designers</w:t>
      </w:r>
    </w:p>
    <w:p w14:paraId="2E0C762D" w14:textId="77777777" w:rsidR="0075318C" w:rsidRPr="0078174A" w:rsidRDefault="0075318C" w:rsidP="0075318C">
      <w:pPr>
        <w:pStyle w:val="NormalWeb"/>
        <w:rPr>
          <w:rFonts w:ascii="Arial" w:hAnsi="Arial" w:cs="Arial"/>
          <w:color w:val="000000" w:themeColor="text1"/>
          <w:sz w:val="20"/>
          <w:szCs w:val="20"/>
        </w:rPr>
      </w:pPr>
      <w:r w:rsidRPr="0078174A">
        <w:rPr>
          <w:rFonts w:ascii="Arial" w:hAnsi="Arial" w:cs="Arial"/>
          <w:color w:val="000000" w:themeColor="text1"/>
          <w:sz w:val="20"/>
          <w:szCs w:val="20"/>
        </w:rPr>
        <w:t>RESOLUTE FS encoder compliance is as follows:</w:t>
      </w:r>
    </w:p>
    <w:p w14:paraId="2F1E6FAB" w14:textId="77777777" w:rsidR="0075318C" w:rsidRPr="00507F9E" w:rsidRDefault="0075318C" w:rsidP="0075318C">
      <w:pPr>
        <w:pStyle w:val="Heading4"/>
        <w:rPr>
          <w:rFonts w:ascii="Arial" w:hAnsi="Arial" w:cs="Arial"/>
          <w:b/>
          <w:i w:val="0"/>
          <w:color w:val="000000" w:themeColor="text1"/>
        </w:rPr>
      </w:pPr>
      <w:r w:rsidRPr="00507F9E">
        <w:rPr>
          <w:rFonts w:ascii="Arial" w:hAnsi="Arial" w:cs="Arial"/>
          <w:b/>
          <w:i w:val="0"/>
          <w:color w:val="000000" w:themeColor="text1"/>
        </w:rPr>
        <w:t>IS0 13849:2015</w:t>
      </w:r>
    </w:p>
    <w:p w14:paraId="3DAECC5C" w14:textId="77777777" w:rsidR="0075318C" w:rsidRPr="0075318C" w:rsidRDefault="0075318C" w:rsidP="0075318C">
      <w:pPr>
        <w:numPr>
          <w:ilvl w:val="0"/>
          <w:numId w:val="9"/>
        </w:numPr>
        <w:spacing w:before="100" w:beforeAutospacing="1" w:after="100" w:afterAutospacing="1"/>
        <w:rPr>
          <w:rFonts w:ascii="Arial" w:hAnsi="Arial" w:cs="Arial"/>
          <w:color w:val="211A15"/>
        </w:rPr>
      </w:pPr>
      <w:r w:rsidRPr="0075318C">
        <w:rPr>
          <w:rFonts w:ascii="Arial" w:hAnsi="Arial" w:cs="Arial"/>
          <w:color w:val="211A15"/>
        </w:rPr>
        <w:t>PL = d</w:t>
      </w:r>
    </w:p>
    <w:p w14:paraId="75E2CC12" w14:textId="77777777" w:rsidR="0075318C" w:rsidRPr="0075318C" w:rsidRDefault="0075318C" w:rsidP="0075318C">
      <w:pPr>
        <w:numPr>
          <w:ilvl w:val="0"/>
          <w:numId w:val="9"/>
        </w:numPr>
        <w:spacing w:before="100" w:beforeAutospacing="1" w:after="100" w:afterAutospacing="1"/>
        <w:rPr>
          <w:rFonts w:ascii="Arial" w:hAnsi="Arial" w:cs="Arial"/>
          <w:color w:val="211A15"/>
        </w:rPr>
      </w:pPr>
      <w:r w:rsidRPr="0075318C">
        <w:rPr>
          <w:rFonts w:ascii="Arial" w:hAnsi="Arial" w:cs="Arial"/>
          <w:color w:val="211A15"/>
        </w:rPr>
        <w:t>Category = 3</w:t>
      </w:r>
    </w:p>
    <w:p w14:paraId="7716EADB" w14:textId="490F0B92" w:rsidR="0075318C" w:rsidRPr="0078174A" w:rsidRDefault="0075318C" w:rsidP="0078174A">
      <w:pPr>
        <w:numPr>
          <w:ilvl w:val="0"/>
          <w:numId w:val="9"/>
        </w:numPr>
        <w:spacing w:before="100" w:beforeAutospacing="1" w:after="100" w:afterAutospacing="1"/>
        <w:rPr>
          <w:rFonts w:ascii="Arial" w:hAnsi="Arial" w:cs="Arial"/>
          <w:color w:val="211A15"/>
        </w:rPr>
      </w:pPr>
      <w:r w:rsidRPr="0075318C">
        <w:rPr>
          <w:rFonts w:ascii="Arial" w:hAnsi="Arial" w:cs="Arial"/>
          <w:color w:val="211A15"/>
        </w:rPr>
        <w:t>Mean-Time to Dangerous Failure (MTTF)</w:t>
      </w:r>
    </w:p>
    <w:p w14:paraId="453CC274" w14:textId="369CF4CB" w:rsidR="0075318C" w:rsidRPr="0075318C" w:rsidRDefault="0075318C" w:rsidP="0075318C">
      <w:pPr>
        <w:numPr>
          <w:ilvl w:val="1"/>
          <w:numId w:val="9"/>
        </w:numPr>
        <w:spacing w:before="100" w:beforeAutospacing="1" w:after="100" w:afterAutospacing="1"/>
        <w:rPr>
          <w:rFonts w:ascii="Arial" w:hAnsi="Arial" w:cs="Arial"/>
          <w:color w:val="211A15"/>
        </w:rPr>
      </w:pPr>
      <w:r w:rsidRPr="0075318C">
        <w:rPr>
          <w:rFonts w:ascii="Arial" w:hAnsi="Arial" w:cs="Arial"/>
          <w:color w:val="211A15"/>
        </w:rPr>
        <w:t xml:space="preserve">Siemens DRIVE </w:t>
      </w:r>
      <w:proofErr w:type="spellStart"/>
      <w:r w:rsidRPr="0075318C">
        <w:rPr>
          <w:rFonts w:ascii="Arial" w:hAnsi="Arial" w:cs="Arial"/>
          <w:color w:val="211A15"/>
        </w:rPr>
        <w:t>CLiQ</w:t>
      </w:r>
      <w:proofErr w:type="spellEnd"/>
      <w:r w:rsidRPr="0075318C">
        <w:rPr>
          <w:rFonts w:ascii="Arial" w:hAnsi="Arial" w:cs="Arial"/>
          <w:color w:val="211A15"/>
        </w:rPr>
        <w:t xml:space="preserve"> </w:t>
      </w:r>
      <w:r w:rsidR="002C23E9">
        <w:rPr>
          <w:rFonts w:ascii="Arial" w:hAnsi="Arial" w:cs="Arial"/>
          <w:color w:val="211A15"/>
        </w:rPr>
        <w:t xml:space="preserve">system </w:t>
      </w:r>
      <w:r w:rsidRPr="0075318C">
        <w:rPr>
          <w:rFonts w:ascii="Arial" w:hAnsi="Arial" w:cs="Arial"/>
          <w:color w:val="211A15"/>
        </w:rPr>
        <w:t>= 87 year</w:t>
      </w:r>
    </w:p>
    <w:p w14:paraId="46FCAF63" w14:textId="496EE93A" w:rsidR="0075318C" w:rsidRPr="0075318C" w:rsidRDefault="0075318C" w:rsidP="0075318C">
      <w:pPr>
        <w:numPr>
          <w:ilvl w:val="1"/>
          <w:numId w:val="9"/>
        </w:numPr>
        <w:spacing w:before="100" w:beforeAutospacing="1" w:after="100" w:afterAutospacing="1"/>
        <w:rPr>
          <w:rFonts w:ascii="Arial" w:hAnsi="Arial" w:cs="Arial"/>
          <w:color w:val="211A15"/>
        </w:rPr>
      </w:pPr>
      <w:proofErr w:type="spellStart"/>
      <w:r w:rsidRPr="0075318C">
        <w:rPr>
          <w:rFonts w:ascii="Arial" w:hAnsi="Arial" w:cs="Arial"/>
          <w:color w:val="211A15"/>
        </w:rPr>
        <w:t>BiSS</w:t>
      </w:r>
      <w:proofErr w:type="spellEnd"/>
      <w:r w:rsidRPr="0075318C">
        <w:rPr>
          <w:rFonts w:ascii="Arial" w:hAnsi="Arial" w:cs="Arial"/>
          <w:color w:val="211A15"/>
        </w:rPr>
        <w:t xml:space="preserve"> </w:t>
      </w:r>
      <w:r w:rsidR="002C23E9">
        <w:rPr>
          <w:rFonts w:ascii="Arial" w:hAnsi="Arial" w:cs="Arial"/>
          <w:color w:val="211A15"/>
        </w:rPr>
        <w:t>Safety system</w:t>
      </w:r>
      <w:r w:rsidRPr="0075318C">
        <w:rPr>
          <w:rFonts w:ascii="Arial" w:hAnsi="Arial" w:cs="Arial"/>
          <w:color w:val="211A15"/>
        </w:rPr>
        <w:t xml:space="preserve"> = 132 years</w:t>
      </w:r>
    </w:p>
    <w:p w14:paraId="66E13B3C" w14:textId="77777777" w:rsidR="0075318C" w:rsidRPr="0075318C" w:rsidRDefault="0075318C" w:rsidP="0075318C">
      <w:pPr>
        <w:numPr>
          <w:ilvl w:val="0"/>
          <w:numId w:val="9"/>
        </w:numPr>
        <w:spacing w:before="100" w:beforeAutospacing="1" w:after="100" w:afterAutospacing="1"/>
        <w:rPr>
          <w:rFonts w:ascii="Arial" w:hAnsi="Arial" w:cs="Arial"/>
          <w:color w:val="211A15"/>
        </w:rPr>
      </w:pPr>
      <w:r w:rsidRPr="0075318C">
        <w:rPr>
          <w:rFonts w:ascii="Arial" w:hAnsi="Arial" w:cs="Arial"/>
          <w:color w:val="211A15"/>
        </w:rPr>
        <w:t>Diagnostic Coverage (DC) = 90% / Medium</w:t>
      </w:r>
    </w:p>
    <w:p w14:paraId="69AA5791" w14:textId="77777777" w:rsidR="0075318C" w:rsidRPr="00507F9E" w:rsidRDefault="0075318C" w:rsidP="0075318C">
      <w:pPr>
        <w:pStyle w:val="Heading4"/>
        <w:rPr>
          <w:rFonts w:ascii="Arial" w:hAnsi="Arial" w:cs="Arial"/>
          <w:b/>
          <w:i w:val="0"/>
          <w:color w:val="000000" w:themeColor="text1"/>
        </w:rPr>
      </w:pPr>
      <w:r w:rsidRPr="00507F9E">
        <w:rPr>
          <w:rFonts w:ascii="Arial" w:hAnsi="Arial" w:cs="Arial"/>
          <w:b/>
          <w:i w:val="0"/>
          <w:color w:val="000000" w:themeColor="text1"/>
        </w:rPr>
        <w:t>IEC 61508:2010 and IEC 61800-5-2:2007</w:t>
      </w:r>
    </w:p>
    <w:p w14:paraId="46EE4FA9" w14:textId="77777777" w:rsidR="0075318C" w:rsidRPr="0075318C" w:rsidRDefault="0075318C" w:rsidP="0075318C">
      <w:pPr>
        <w:numPr>
          <w:ilvl w:val="0"/>
          <w:numId w:val="10"/>
        </w:numPr>
        <w:spacing w:before="100" w:beforeAutospacing="1" w:after="100" w:afterAutospacing="1"/>
        <w:rPr>
          <w:rFonts w:ascii="Arial" w:hAnsi="Arial" w:cs="Arial"/>
          <w:color w:val="211A15"/>
        </w:rPr>
      </w:pPr>
      <w:r w:rsidRPr="0075318C">
        <w:rPr>
          <w:rFonts w:ascii="Arial" w:hAnsi="Arial" w:cs="Arial"/>
          <w:color w:val="211A15"/>
        </w:rPr>
        <w:t>SIL = 2</w:t>
      </w:r>
    </w:p>
    <w:p w14:paraId="3367C29C" w14:textId="79C8244B" w:rsidR="0075318C" w:rsidRPr="0078174A" w:rsidRDefault="0075318C" w:rsidP="0078174A">
      <w:pPr>
        <w:numPr>
          <w:ilvl w:val="0"/>
          <w:numId w:val="10"/>
        </w:numPr>
        <w:spacing w:before="100" w:beforeAutospacing="1" w:after="100" w:afterAutospacing="1"/>
        <w:rPr>
          <w:rFonts w:ascii="Arial" w:hAnsi="Arial" w:cs="Arial"/>
          <w:color w:val="211A15"/>
        </w:rPr>
      </w:pPr>
      <w:r w:rsidRPr="0075318C">
        <w:rPr>
          <w:rFonts w:ascii="Arial" w:hAnsi="Arial" w:cs="Arial"/>
          <w:color w:val="211A15"/>
        </w:rPr>
        <w:t>Probability of Dangerous Failure per Hour (PF)</w:t>
      </w:r>
    </w:p>
    <w:p w14:paraId="2EA1B02B" w14:textId="77777777" w:rsidR="0075318C" w:rsidRPr="0075318C" w:rsidRDefault="0075318C" w:rsidP="0075318C">
      <w:pPr>
        <w:numPr>
          <w:ilvl w:val="1"/>
          <w:numId w:val="10"/>
        </w:numPr>
        <w:spacing w:before="100" w:beforeAutospacing="1" w:after="100" w:afterAutospacing="1"/>
        <w:rPr>
          <w:rFonts w:ascii="Arial" w:hAnsi="Arial" w:cs="Arial"/>
          <w:color w:val="211A15"/>
        </w:rPr>
      </w:pPr>
      <w:r w:rsidRPr="0075318C">
        <w:rPr>
          <w:rFonts w:ascii="Arial" w:hAnsi="Arial" w:cs="Arial"/>
          <w:color w:val="211A15"/>
        </w:rPr>
        <w:t xml:space="preserve">Siemens DRIVE </w:t>
      </w:r>
      <w:proofErr w:type="spellStart"/>
      <w:r w:rsidRPr="0075318C">
        <w:rPr>
          <w:rFonts w:ascii="Arial" w:hAnsi="Arial" w:cs="Arial"/>
          <w:color w:val="211A15"/>
        </w:rPr>
        <w:t>CLiQ</w:t>
      </w:r>
      <w:proofErr w:type="spellEnd"/>
      <w:r w:rsidRPr="0075318C">
        <w:rPr>
          <w:rFonts w:ascii="Arial" w:hAnsi="Arial" w:cs="Arial"/>
          <w:color w:val="211A15"/>
        </w:rPr>
        <w:t xml:space="preserve"> system = 1.33E-07</w:t>
      </w:r>
    </w:p>
    <w:p w14:paraId="0BF01EC4" w14:textId="5668E65D" w:rsidR="0075318C" w:rsidRPr="0075318C" w:rsidRDefault="002C23E9" w:rsidP="0075318C">
      <w:pPr>
        <w:numPr>
          <w:ilvl w:val="1"/>
          <w:numId w:val="10"/>
        </w:numPr>
        <w:spacing w:before="100" w:beforeAutospacing="1" w:after="100" w:afterAutospacing="1"/>
        <w:rPr>
          <w:rFonts w:ascii="Arial" w:hAnsi="Arial" w:cs="Arial"/>
          <w:color w:val="211A15"/>
        </w:rPr>
      </w:pPr>
      <w:proofErr w:type="spellStart"/>
      <w:r w:rsidRPr="0075318C">
        <w:rPr>
          <w:rFonts w:ascii="Arial" w:hAnsi="Arial" w:cs="Arial"/>
          <w:color w:val="211A15"/>
        </w:rPr>
        <w:t>BiSS</w:t>
      </w:r>
      <w:proofErr w:type="spellEnd"/>
      <w:r w:rsidRPr="0075318C">
        <w:rPr>
          <w:rFonts w:ascii="Arial" w:hAnsi="Arial" w:cs="Arial"/>
          <w:color w:val="211A15"/>
        </w:rPr>
        <w:t xml:space="preserve"> </w:t>
      </w:r>
      <w:r>
        <w:rPr>
          <w:rFonts w:ascii="Arial" w:hAnsi="Arial" w:cs="Arial"/>
          <w:color w:val="211A15"/>
        </w:rPr>
        <w:t>Safety system</w:t>
      </w:r>
      <w:r w:rsidRPr="0075318C">
        <w:rPr>
          <w:rFonts w:ascii="Arial" w:hAnsi="Arial" w:cs="Arial"/>
          <w:color w:val="211A15"/>
        </w:rPr>
        <w:t xml:space="preserve"> </w:t>
      </w:r>
      <w:bookmarkStart w:id="0" w:name="_GoBack"/>
      <w:bookmarkEnd w:id="0"/>
      <w:r w:rsidR="0075318C" w:rsidRPr="0075318C">
        <w:rPr>
          <w:rFonts w:ascii="Arial" w:hAnsi="Arial" w:cs="Arial"/>
          <w:color w:val="211A15"/>
        </w:rPr>
        <w:t>= 8.75E-08</w:t>
      </w:r>
    </w:p>
    <w:p w14:paraId="15D90113" w14:textId="77777777" w:rsidR="0075318C" w:rsidRPr="0075318C" w:rsidRDefault="0075318C" w:rsidP="0075318C">
      <w:pPr>
        <w:numPr>
          <w:ilvl w:val="0"/>
          <w:numId w:val="10"/>
        </w:numPr>
        <w:spacing w:before="100" w:beforeAutospacing="1" w:after="100" w:afterAutospacing="1"/>
        <w:rPr>
          <w:rFonts w:ascii="Arial" w:hAnsi="Arial" w:cs="Arial"/>
          <w:color w:val="211A15"/>
        </w:rPr>
      </w:pPr>
      <w:r w:rsidRPr="0075318C">
        <w:rPr>
          <w:rFonts w:ascii="Arial" w:hAnsi="Arial" w:cs="Arial"/>
          <w:color w:val="211A15"/>
        </w:rPr>
        <w:t>Demand mode = continuous</w:t>
      </w:r>
    </w:p>
    <w:p w14:paraId="410AEE66" w14:textId="77777777" w:rsidR="0075318C" w:rsidRPr="0075318C" w:rsidRDefault="0075318C" w:rsidP="0075318C">
      <w:pPr>
        <w:numPr>
          <w:ilvl w:val="0"/>
          <w:numId w:val="10"/>
        </w:numPr>
        <w:spacing w:before="100" w:beforeAutospacing="1" w:after="100" w:afterAutospacing="1"/>
        <w:rPr>
          <w:rFonts w:ascii="Arial" w:hAnsi="Arial" w:cs="Arial"/>
          <w:color w:val="211A15"/>
        </w:rPr>
      </w:pPr>
      <w:r w:rsidRPr="0075318C">
        <w:rPr>
          <w:rFonts w:ascii="Arial" w:hAnsi="Arial" w:cs="Arial"/>
          <w:color w:val="211A15"/>
        </w:rPr>
        <w:t>Lifetime = 10 years</w:t>
      </w:r>
    </w:p>
    <w:p w14:paraId="7675650A" w14:textId="77777777" w:rsidR="0075318C" w:rsidRPr="0078174A" w:rsidRDefault="0075318C" w:rsidP="0075318C">
      <w:pPr>
        <w:pStyle w:val="Heading2"/>
        <w:rPr>
          <w:rFonts w:ascii="Arial" w:hAnsi="Arial" w:cs="Arial"/>
          <w:b/>
          <w:color w:val="000000" w:themeColor="text1"/>
          <w:sz w:val="22"/>
          <w:szCs w:val="22"/>
        </w:rPr>
      </w:pPr>
      <w:r w:rsidRPr="0078174A">
        <w:rPr>
          <w:rFonts w:ascii="Arial" w:hAnsi="Arial" w:cs="Arial"/>
          <w:b/>
          <w:color w:val="000000" w:themeColor="text1"/>
          <w:sz w:val="22"/>
          <w:szCs w:val="22"/>
        </w:rPr>
        <w:t>Summary</w:t>
      </w:r>
    </w:p>
    <w:p w14:paraId="10B221C7" w14:textId="77777777" w:rsidR="0075318C" w:rsidRPr="0075318C" w:rsidRDefault="0075318C" w:rsidP="0075318C">
      <w:pPr>
        <w:pStyle w:val="NormalWeb"/>
        <w:rPr>
          <w:rFonts w:ascii="Arial" w:hAnsi="Arial" w:cs="Arial"/>
          <w:color w:val="211A15"/>
          <w:sz w:val="20"/>
          <w:szCs w:val="20"/>
        </w:rPr>
      </w:pPr>
      <w:r w:rsidRPr="0075318C">
        <w:rPr>
          <w:rFonts w:ascii="Arial" w:hAnsi="Arial" w:cs="Arial"/>
          <w:color w:val="211A15"/>
          <w:sz w:val="20"/>
          <w:szCs w:val="20"/>
        </w:rPr>
        <w:t>RESOLUTE FS encoder systems still offer customers the outstanding metrology performance of the RESOLUTE series but with the added peace-of-mind that comes from compliance with the world's most stringent functional safety standards. New applications for the RESOLUTE family of encoders now include the latest collaborative robotic and industrial manufacturing technologies.</w:t>
      </w:r>
    </w:p>
    <w:p w14:paraId="1CC68D90" w14:textId="77777777" w:rsidR="0075318C" w:rsidRPr="0075318C" w:rsidRDefault="0075318C" w:rsidP="0075318C">
      <w:pPr>
        <w:pStyle w:val="NormalWeb"/>
        <w:rPr>
          <w:rFonts w:ascii="Arial" w:hAnsi="Arial" w:cs="Arial"/>
          <w:color w:val="211A15"/>
          <w:sz w:val="20"/>
          <w:szCs w:val="20"/>
        </w:rPr>
      </w:pPr>
      <w:r w:rsidRPr="0075318C">
        <w:rPr>
          <w:rFonts w:ascii="Arial" w:hAnsi="Arial" w:cs="Arial"/>
          <w:color w:val="211A15"/>
          <w:sz w:val="20"/>
          <w:szCs w:val="20"/>
        </w:rPr>
        <w:t xml:space="preserve">For further information on RESOLUTE FS systems, please visit </w:t>
      </w:r>
      <w:hyperlink r:id="rId11" w:history="1">
        <w:r w:rsidRPr="0075318C">
          <w:rPr>
            <w:rStyle w:val="Hyperlink"/>
            <w:rFonts w:ascii="Arial" w:hAnsi="Arial" w:cs="Arial"/>
            <w:sz w:val="20"/>
            <w:szCs w:val="20"/>
          </w:rPr>
          <w:t>www.renishaw.com/resolutefs</w:t>
        </w:r>
      </w:hyperlink>
      <w:r w:rsidRPr="0075318C">
        <w:rPr>
          <w:rFonts w:ascii="Arial" w:hAnsi="Arial" w:cs="Arial"/>
          <w:color w:val="211A15"/>
          <w:sz w:val="20"/>
          <w:szCs w:val="20"/>
        </w:rPr>
        <w:t>.</w:t>
      </w:r>
    </w:p>
    <w:p w14:paraId="08317E9E" w14:textId="77777777" w:rsidR="0075318C" w:rsidRPr="0075318C" w:rsidRDefault="0075318C" w:rsidP="0075318C">
      <w:pPr>
        <w:pStyle w:val="NormalWeb"/>
        <w:rPr>
          <w:rFonts w:ascii="Arial" w:hAnsi="Arial" w:cs="Arial"/>
          <w:color w:val="211A15"/>
          <w:sz w:val="20"/>
          <w:szCs w:val="20"/>
        </w:rPr>
      </w:pPr>
      <w:r w:rsidRPr="0075318C">
        <w:rPr>
          <w:rFonts w:ascii="Arial" w:hAnsi="Arial" w:cs="Arial"/>
          <w:color w:val="211A15"/>
          <w:sz w:val="20"/>
          <w:szCs w:val="20"/>
        </w:rPr>
        <w:t xml:space="preserve">*To read the White paper: Safety first - the position determination and checking algorithms of the RESOLUTE™ true-absolute optical encoder, please visit </w:t>
      </w:r>
      <w:hyperlink r:id="rId12" w:history="1">
        <w:r w:rsidRPr="0075318C">
          <w:rPr>
            <w:rStyle w:val="Hyperlink"/>
            <w:rFonts w:ascii="Arial" w:hAnsi="Arial" w:cs="Arial"/>
            <w:sz w:val="20"/>
            <w:szCs w:val="20"/>
          </w:rPr>
          <w:t>www.renishaw.com/whitepapers</w:t>
        </w:r>
      </w:hyperlink>
      <w:r w:rsidRPr="0075318C">
        <w:rPr>
          <w:rFonts w:ascii="Arial" w:hAnsi="Arial" w:cs="Arial"/>
          <w:color w:val="211A15"/>
          <w:sz w:val="20"/>
          <w:szCs w:val="20"/>
        </w:rPr>
        <w:t>.</w:t>
      </w:r>
    </w:p>
    <w:p w14:paraId="02763431" w14:textId="77777777" w:rsidR="00A96EF3" w:rsidRPr="00A351BD" w:rsidRDefault="00A96EF3" w:rsidP="0050292E">
      <w:pPr>
        <w:spacing w:line="276" w:lineRule="auto"/>
        <w:rPr>
          <w:rFonts w:ascii="Arial" w:hAnsi="Arial" w:cs="Arial"/>
        </w:rPr>
      </w:pPr>
    </w:p>
    <w:p w14:paraId="29584641" w14:textId="77777777" w:rsidR="00113C35" w:rsidRPr="00A351BD" w:rsidRDefault="00113C35" w:rsidP="0050292E">
      <w:pPr>
        <w:spacing w:line="276" w:lineRule="auto"/>
        <w:rPr>
          <w:rFonts w:ascii="Arial" w:hAnsi="Arial" w:cs="Arial"/>
        </w:rPr>
      </w:pP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00004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C23E9">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762538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938"/>
    <w:multiLevelType w:val="multilevel"/>
    <w:tmpl w:val="067A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1BF1"/>
    <w:multiLevelType w:val="multilevel"/>
    <w:tmpl w:val="548E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A3CE8"/>
    <w:multiLevelType w:val="hybridMultilevel"/>
    <w:tmpl w:val="BA5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01B82"/>
    <w:multiLevelType w:val="multilevel"/>
    <w:tmpl w:val="166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15CF"/>
    <w:multiLevelType w:val="hybridMultilevel"/>
    <w:tmpl w:val="C4D6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B87C26"/>
    <w:multiLevelType w:val="multilevel"/>
    <w:tmpl w:val="3C2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5741C"/>
    <w:multiLevelType w:val="multilevel"/>
    <w:tmpl w:val="358C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974BF"/>
    <w:multiLevelType w:val="multilevel"/>
    <w:tmpl w:val="39B4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70190"/>
    <w:multiLevelType w:val="multilevel"/>
    <w:tmpl w:val="1F74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9"/>
  </w:num>
  <w:num w:numId="5">
    <w:abstractNumId w:val="6"/>
  </w:num>
  <w:num w:numId="6">
    <w:abstractNumId w:val="3"/>
  </w:num>
  <w:num w:numId="7">
    <w:abstractNumId w:val="8"/>
  </w:num>
  <w:num w:numId="8">
    <w:abstractNumId w:val="10"/>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C23E9"/>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6712C"/>
    <w:rsid w:val="00474A48"/>
    <w:rsid w:val="00474A5F"/>
    <w:rsid w:val="004863E7"/>
    <w:rsid w:val="00490E55"/>
    <w:rsid w:val="004930B0"/>
    <w:rsid w:val="0049414C"/>
    <w:rsid w:val="004C5163"/>
    <w:rsid w:val="004C68BF"/>
    <w:rsid w:val="004F5243"/>
    <w:rsid w:val="0050292E"/>
    <w:rsid w:val="00505214"/>
    <w:rsid w:val="00507F9E"/>
    <w:rsid w:val="0051473C"/>
    <w:rsid w:val="00524281"/>
    <w:rsid w:val="00535A5C"/>
    <w:rsid w:val="00544ECF"/>
    <w:rsid w:val="00546FE4"/>
    <w:rsid w:val="00547CB4"/>
    <w:rsid w:val="00574DAA"/>
    <w:rsid w:val="00576141"/>
    <w:rsid w:val="00590FCF"/>
    <w:rsid w:val="005A7A54"/>
    <w:rsid w:val="005B2717"/>
    <w:rsid w:val="005D5BA2"/>
    <w:rsid w:val="00633356"/>
    <w:rsid w:val="00644635"/>
    <w:rsid w:val="0065468E"/>
    <w:rsid w:val="00666780"/>
    <w:rsid w:val="006873DF"/>
    <w:rsid w:val="00694EDE"/>
    <w:rsid w:val="006B413D"/>
    <w:rsid w:val="006C2C75"/>
    <w:rsid w:val="006E4D82"/>
    <w:rsid w:val="00701066"/>
    <w:rsid w:val="00714411"/>
    <w:rsid w:val="0072403D"/>
    <w:rsid w:val="0073088A"/>
    <w:rsid w:val="0075318C"/>
    <w:rsid w:val="00775194"/>
    <w:rsid w:val="00775976"/>
    <w:rsid w:val="0078174A"/>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60348"/>
    <w:rsid w:val="00A66A1E"/>
    <w:rsid w:val="00A96EF3"/>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53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531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paragraph" w:styleId="ListParagraph">
    <w:name w:val="List Paragraph"/>
    <w:basedOn w:val="Normal"/>
    <w:uiPriority w:val="34"/>
    <w:qFormat/>
    <w:rsid w:val="0075318C"/>
    <w:pPr>
      <w:spacing w:before="120" w:after="120" w:line="259" w:lineRule="auto"/>
      <w:ind w:left="720"/>
      <w:contextualSpacing/>
    </w:pPr>
    <w:rPr>
      <w:rFonts w:ascii="Arial" w:eastAsiaTheme="minorHAnsi" w:hAnsi="Arial" w:cstheme="minorBidi"/>
      <w:sz w:val="22"/>
      <w:szCs w:val="22"/>
      <w:lang w:eastAsia="en-US"/>
    </w:rPr>
  </w:style>
  <w:style w:type="character" w:customStyle="1" w:styleId="Heading2Char">
    <w:name w:val="Heading 2 Char"/>
    <w:basedOn w:val="DefaultParagraphFont"/>
    <w:link w:val="Heading2"/>
    <w:uiPriority w:val="9"/>
    <w:semiHidden/>
    <w:rsid w:val="0075318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5318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75318C"/>
    <w:rPr>
      <w:b/>
      <w:bCs/>
    </w:rPr>
  </w:style>
  <w:style w:type="paragraph" w:styleId="NormalWeb">
    <w:name w:val="Normal (Web)"/>
    <w:basedOn w:val="Normal"/>
    <w:uiPriority w:val="99"/>
    <w:semiHidden/>
    <w:unhideWhenUsed/>
    <w:rsid w:val="007531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86416822">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350645792">
      <w:bodyDiv w:val="1"/>
      <w:marLeft w:val="180"/>
      <w:marRight w:val="180"/>
      <w:marTop w:val="180"/>
      <w:marBottom w:val="180"/>
      <w:divBdr>
        <w:top w:val="none" w:sz="0" w:space="0" w:color="auto"/>
        <w:left w:val="none" w:sz="0" w:space="0" w:color="auto"/>
        <w:bottom w:val="none" w:sz="0" w:space="0" w:color="auto"/>
        <w:right w:val="none" w:sz="0" w:space="0" w:color="auto"/>
      </w:divBdr>
    </w:div>
    <w:div w:id="1705135835">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874302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4558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7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905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derby:2015/whitepap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derby:2015/en/39820.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www.w3.org/XML/1998/namespace"/>
    <ds:schemaRef ds:uri="http://purl.org/dc/dcmitype/"/>
    <ds:schemaRef ds:uri="http://schemas.microsoft.com/office/2006/documentManagement/types"/>
    <ds:schemaRef ds:uri="4af5f2fd-5408-4f1e-9766-c7b530b9d8ca"/>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C4A55CB-1D5E-4A1D-85B7-BF60F0D0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951</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Isabelle Duffin</cp:lastModifiedBy>
  <cp:revision>5</cp:revision>
  <cp:lastPrinted>2014-11-03T12:56:00Z</cp:lastPrinted>
  <dcterms:created xsi:type="dcterms:W3CDTF">2017-02-02T09:15:00Z</dcterms:created>
  <dcterms:modified xsi:type="dcterms:W3CDTF">2017-02-03T11:10:00Z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