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99" w:rsidRPr="00091899" w:rsidRDefault="00165DBD" w:rsidP="00165DBD">
      <w:pPr>
        <w:spacing w:after="150" w:line="360" w:lineRule="atLeast"/>
        <w:rPr>
          <w:rFonts w:ascii="Segoe UI Semilight" w:eastAsia="Times New Roman" w:hAnsi="Segoe UI Semilight" w:cs="Segoe UI Semilight"/>
          <w:b/>
          <w:color w:val="373737"/>
          <w:sz w:val="24"/>
          <w:szCs w:val="24"/>
          <w:lang w:eastAsia="en-GB"/>
        </w:rPr>
      </w:pPr>
      <w:r w:rsidRPr="00091899">
        <w:rPr>
          <w:rFonts w:ascii="Segoe UI Semilight" w:eastAsia="Times New Roman" w:hAnsi="Segoe UI Semilight" w:cs="Segoe UI Semilight"/>
          <w:b/>
          <w:color w:val="373737"/>
          <w:sz w:val="24"/>
          <w:szCs w:val="24"/>
          <w:lang w:eastAsia="en-GB"/>
        </w:rPr>
        <w:t xml:space="preserve">What is the MTBF (Mean Time Before Failure) </w:t>
      </w:r>
      <w:r w:rsidR="00091899" w:rsidRPr="00091899">
        <w:rPr>
          <w:rFonts w:ascii="Segoe UI Semilight" w:eastAsia="Times New Roman" w:hAnsi="Segoe UI Semilight" w:cs="Segoe UI Semilight"/>
          <w:b/>
          <w:color w:val="373737"/>
          <w:sz w:val="24"/>
          <w:szCs w:val="24"/>
          <w:lang w:eastAsia="en-GB"/>
        </w:rPr>
        <w:t xml:space="preserve">for Renishaw optical </w:t>
      </w:r>
      <w:proofErr w:type="gramStart"/>
      <w:r w:rsidR="00091899" w:rsidRPr="00091899">
        <w:rPr>
          <w:rFonts w:ascii="Segoe UI Semilight" w:eastAsia="Times New Roman" w:hAnsi="Segoe UI Semilight" w:cs="Segoe UI Semilight"/>
          <w:b/>
          <w:color w:val="373737"/>
          <w:sz w:val="24"/>
          <w:szCs w:val="24"/>
          <w:lang w:eastAsia="en-GB"/>
        </w:rPr>
        <w:t>encoders ?</w:t>
      </w:r>
      <w:proofErr w:type="gramEnd"/>
      <w:r w:rsidR="00091899" w:rsidRPr="00091899">
        <w:rPr>
          <w:rFonts w:ascii="Segoe UI Semilight" w:eastAsia="Times New Roman" w:hAnsi="Segoe UI Semilight" w:cs="Segoe UI Semilight"/>
          <w:b/>
          <w:color w:val="373737"/>
          <w:sz w:val="24"/>
          <w:szCs w:val="24"/>
          <w:lang w:eastAsia="en-GB"/>
        </w:rPr>
        <w:t xml:space="preserve"> </w:t>
      </w:r>
    </w:p>
    <w:p w:rsidR="00091899" w:rsidRDefault="00091899" w:rsidP="00165DBD">
      <w:pPr>
        <w:spacing w:after="150" w:line="360" w:lineRule="atLeast"/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</w:pPr>
    </w:p>
    <w:p w:rsidR="00165DBD" w:rsidRPr="0072790E" w:rsidRDefault="00091899" w:rsidP="00165DBD">
      <w:pPr>
        <w:spacing w:after="150" w:line="360" w:lineRule="atLeast"/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</w:pPr>
      <w:r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 xml:space="preserve">Please refer to the example below for </w:t>
      </w:r>
      <w:r w:rsidR="00165DBD" w:rsidRPr="0072790E"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 xml:space="preserve">RGH24/RGH25 </w:t>
      </w:r>
      <w:proofErr w:type="spellStart"/>
      <w:r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>readhead</w:t>
      </w:r>
      <w:proofErr w:type="spellEnd"/>
      <w:r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 xml:space="preserve"> reliability:</w:t>
      </w:r>
      <w:bookmarkStart w:id="0" w:name="_GoBack"/>
      <w:bookmarkEnd w:id="0"/>
    </w:p>
    <w:p w:rsidR="00165DBD" w:rsidRDefault="00165DBD" w:rsidP="00165DBD">
      <w:pPr>
        <w:spacing w:after="150" w:line="360" w:lineRule="atLeast"/>
        <w:rPr>
          <w:rFonts w:ascii="Segoe UI Semilight" w:eastAsia="Times New Roman" w:hAnsi="Segoe UI Semilight" w:cs="Segoe UI Semilight"/>
          <w:color w:val="373737"/>
          <w:sz w:val="23"/>
          <w:szCs w:val="23"/>
          <w:lang w:eastAsia="en-GB"/>
        </w:rPr>
      </w:pPr>
      <w:r w:rsidRPr="0072790E">
        <w:rPr>
          <w:rFonts w:ascii="Segoe UI Semilight" w:eastAsia="Times New Roman" w:hAnsi="Segoe UI Semilight" w:cs="Segoe UI Semilight"/>
          <w:b/>
          <w:color w:val="373737"/>
          <w:sz w:val="24"/>
          <w:szCs w:val="24"/>
          <w:lang w:eastAsia="en-GB"/>
        </w:rPr>
        <w:t xml:space="preserve"> </w:t>
      </w:r>
    </w:p>
    <w:p w:rsidR="00165DBD" w:rsidRPr="00165DBD" w:rsidRDefault="00165DBD" w:rsidP="00165DBD">
      <w:pPr>
        <w:spacing w:after="150" w:line="360" w:lineRule="atLeast"/>
        <w:rPr>
          <w:rFonts w:ascii="Segoe UI Semilight" w:eastAsia="Times New Roman" w:hAnsi="Segoe UI Semilight" w:cs="Segoe UI Semilight"/>
          <w:color w:val="373737"/>
          <w:sz w:val="23"/>
          <w:szCs w:val="23"/>
          <w:u w:val="single"/>
          <w:lang w:eastAsia="en-GB"/>
        </w:rPr>
      </w:pPr>
      <w:r>
        <w:rPr>
          <w:rFonts w:ascii="Segoe UI Semilight" w:eastAsia="Times New Roman" w:hAnsi="Segoe UI Semilight" w:cs="Segoe UI Semilight"/>
          <w:color w:val="373737"/>
          <w:sz w:val="23"/>
          <w:szCs w:val="23"/>
          <w:lang w:eastAsia="en-GB"/>
        </w:rPr>
        <w:t>MTBF (</w:t>
      </w:r>
      <m:oMath>
        <m:r>
          <w:rPr>
            <w:rFonts w:ascii="Cambria Math" w:eastAsia="Times New Roman" w:hAnsi="Cambria Math" w:cs="Segoe UI Semilight"/>
            <w:color w:val="373737"/>
            <w:sz w:val="28"/>
            <w:szCs w:val="28"/>
            <w:lang w:eastAsia="en-GB"/>
          </w:rPr>
          <m:t>M</m:t>
        </m:r>
      </m:oMath>
      <w:r>
        <w:rPr>
          <w:rFonts w:ascii="Segoe UI Semilight" w:eastAsia="Times New Roman" w:hAnsi="Segoe UI Semilight" w:cs="Segoe UI Semilight"/>
          <w:color w:val="373737"/>
          <w:sz w:val="23"/>
          <w:szCs w:val="23"/>
          <w:lang w:eastAsia="en-GB"/>
        </w:rPr>
        <w:t xml:space="preserve">) = </w:t>
      </w:r>
      <m:oMath>
        <m:f>
          <m:fPr>
            <m:ctrlPr>
              <w:rPr>
                <w:rFonts w:ascii="Cambria Math" w:eastAsia="Times New Roman" w:hAnsi="Cambria Math" w:cs="Segoe UI Semilight"/>
                <w:i/>
                <w:color w:val="373737"/>
                <w:sz w:val="36"/>
                <w:szCs w:val="36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Segoe UI Semilight"/>
                <w:color w:val="373737"/>
                <w:sz w:val="36"/>
                <w:szCs w:val="36"/>
                <w:lang w:eastAsia="en-GB"/>
              </w:rPr>
              <m:t>pt</m:t>
            </m:r>
          </m:num>
          <m:den>
            <m:r>
              <w:rPr>
                <w:rFonts w:ascii="Cambria Math" w:eastAsia="Times New Roman" w:hAnsi="Cambria Math" w:cs="Segoe UI Semilight"/>
                <w:color w:val="373737"/>
                <w:sz w:val="36"/>
                <w:szCs w:val="36"/>
                <w:lang w:eastAsia="en-GB"/>
              </w:rPr>
              <m:t>n</m:t>
            </m:r>
          </m:den>
        </m:f>
      </m:oMath>
    </w:p>
    <w:p w:rsidR="00165DBD" w:rsidRDefault="00165DBD" w:rsidP="00165DBD">
      <w:pPr>
        <w:spacing w:after="150" w:line="360" w:lineRule="atLeast"/>
        <w:rPr>
          <w:rFonts w:ascii="Segoe UI Semilight" w:eastAsia="Times New Roman" w:hAnsi="Segoe UI Semilight" w:cs="Segoe UI Semilight"/>
          <w:color w:val="373737"/>
          <w:sz w:val="23"/>
          <w:szCs w:val="23"/>
          <w:lang w:eastAsia="en-GB"/>
        </w:rPr>
      </w:pPr>
    </w:p>
    <w:p w:rsidR="00165DBD" w:rsidRDefault="00165DBD" w:rsidP="00165DBD">
      <w:pPr>
        <w:spacing w:after="150" w:line="360" w:lineRule="atLeast"/>
        <w:rPr>
          <w:rFonts w:ascii="Segoe UI Semilight" w:eastAsia="Times New Roman" w:hAnsi="Segoe UI Semilight" w:cs="Segoe UI Semilight"/>
          <w:color w:val="373737"/>
          <w:sz w:val="23"/>
          <w:szCs w:val="23"/>
          <w:lang w:eastAsia="en-GB"/>
        </w:rPr>
      </w:pPr>
      <w:r>
        <w:rPr>
          <w:rFonts w:ascii="Segoe UI Semilight" w:eastAsia="Times New Roman" w:hAnsi="Segoe UI Semilight" w:cs="Segoe UI Semilight"/>
          <w:color w:val="373737"/>
          <w:sz w:val="23"/>
          <w:szCs w:val="23"/>
          <w:lang w:eastAsia="en-GB"/>
        </w:rPr>
        <w:t>Where</w:t>
      </w:r>
      <w:r>
        <w:rPr>
          <w:rFonts w:ascii="Segoe UI Semilight" w:eastAsia="Times New Roman" w:hAnsi="Segoe UI Semilight" w:cs="Segoe UI Semilight"/>
          <w:color w:val="373737"/>
          <w:sz w:val="23"/>
          <w:szCs w:val="23"/>
          <w:lang w:eastAsia="en-GB"/>
        </w:rPr>
        <w:tab/>
      </w:r>
      <w:r>
        <w:rPr>
          <w:rFonts w:ascii="Segoe UI Semilight" w:eastAsia="Times New Roman" w:hAnsi="Segoe UI Semilight" w:cs="Segoe UI Semilight"/>
          <w:color w:val="373737"/>
          <w:sz w:val="23"/>
          <w:szCs w:val="23"/>
          <w:lang w:eastAsia="en-GB"/>
        </w:rPr>
        <w:tab/>
      </w:r>
      <m:oMath>
        <m:r>
          <w:rPr>
            <w:rFonts w:ascii="Cambria Math" w:eastAsia="Times New Roman" w:hAnsi="Cambria Math" w:cs="Segoe UI Semilight"/>
            <w:color w:val="373737"/>
            <w:sz w:val="28"/>
            <w:szCs w:val="28"/>
            <w:lang w:eastAsia="en-GB"/>
          </w:rPr>
          <m:t>p</m:t>
        </m:r>
      </m:oMath>
      <w:r w:rsidR="0072790E">
        <w:rPr>
          <w:rFonts w:ascii="Segoe UI Semilight" w:eastAsia="Times New Roman" w:hAnsi="Segoe UI Semilight" w:cs="Segoe UI Semilight"/>
          <w:color w:val="373737"/>
          <w:sz w:val="23"/>
          <w:szCs w:val="23"/>
          <w:lang w:eastAsia="en-GB"/>
        </w:rPr>
        <w:tab/>
        <w:t>installed population of readheads</w:t>
      </w:r>
    </w:p>
    <w:p w:rsidR="0072790E" w:rsidRDefault="0072790E" w:rsidP="00165DBD">
      <w:pPr>
        <w:spacing w:after="150" w:line="360" w:lineRule="atLeast"/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</w:pPr>
      <w:r>
        <w:rPr>
          <w:rFonts w:ascii="Segoe UI Semilight" w:eastAsia="Times New Roman" w:hAnsi="Segoe UI Semilight" w:cs="Segoe UI Semilight"/>
          <w:color w:val="373737"/>
          <w:sz w:val="23"/>
          <w:szCs w:val="23"/>
          <w:lang w:eastAsia="en-GB"/>
        </w:rPr>
        <w:tab/>
      </w:r>
      <w:r>
        <w:rPr>
          <w:rFonts w:ascii="Segoe UI Semilight" w:eastAsia="Times New Roman" w:hAnsi="Segoe UI Semilight" w:cs="Segoe UI Semilight"/>
          <w:color w:val="373737"/>
          <w:sz w:val="23"/>
          <w:szCs w:val="23"/>
          <w:lang w:eastAsia="en-GB"/>
        </w:rPr>
        <w:tab/>
      </w:r>
      <m:oMath>
        <m:r>
          <w:rPr>
            <w:rFonts w:ascii="Cambria Math" w:eastAsia="Times New Roman" w:hAnsi="Cambria Math" w:cs="Segoe UI Semilight"/>
            <w:color w:val="373737"/>
            <w:sz w:val="28"/>
            <w:szCs w:val="28"/>
            <w:lang w:eastAsia="en-GB"/>
          </w:rPr>
          <m:t>t</m:t>
        </m:r>
      </m:oMath>
      <w:r>
        <w:rPr>
          <w:rFonts w:ascii="Segoe UI Semilight" w:eastAsia="Times New Roman" w:hAnsi="Segoe UI Semilight" w:cs="Segoe UI Semilight"/>
          <w:color w:val="373737"/>
          <w:sz w:val="28"/>
          <w:szCs w:val="28"/>
          <w:lang w:eastAsia="en-GB"/>
        </w:rPr>
        <w:tab/>
      </w:r>
      <w:proofErr w:type="gramStart"/>
      <w:r w:rsidRPr="0072790E"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>average</w:t>
      </w:r>
      <w:proofErr w:type="gramEnd"/>
      <w:r w:rsidRPr="0072790E"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 xml:space="preserve"> length of service</w:t>
      </w:r>
    </w:p>
    <w:p w:rsidR="0072790E" w:rsidRDefault="0072790E" w:rsidP="00165DBD">
      <w:pPr>
        <w:spacing w:after="150" w:line="360" w:lineRule="atLeast"/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</w:pPr>
      <w:r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ab/>
      </w:r>
      <w:r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ab/>
      </w:r>
      <m:oMath>
        <m:r>
          <w:rPr>
            <w:rFonts w:ascii="Cambria Math" w:eastAsia="Times New Roman" w:hAnsi="Cambria Math" w:cs="Segoe UI Semilight"/>
            <w:color w:val="373737"/>
            <w:sz w:val="28"/>
            <w:szCs w:val="28"/>
            <w:lang w:eastAsia="en-GB"/>
          </w:rPr>
          <m:t>n</m:t>
        </m:r>
      </m:oMath>
      <w:r>
        <w:rPr>
          <w:rFonts w:ascii="Segoe UI Semilight" w:eastAsia="Times New Roman" w:hAnsi="Segoe UI Semilight" w:cs="Segoe UI Semilight"/>
          <w:color w:val="373737"/>
          <w:sz w:val="28"/>
          <w:szCs w:val="28"/>
          <w:lang w:eastAsia="en-GB"/>
        </w:rPr>
        <w:tab/>
      </w:r>
      <w:proofErr w:type="gramStart"/>
      <w:r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>total</w:t>
      </w:r>
      <w:proofErr w:type="gramEnd"/>
      <w:r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 xml:space="preserve"> relevant failures</w:t>
      </w:r>
    </w:p>
    <w:p w:rsidR="0072790E" w:rsidRDefault="0072790E" w:rsidP="00165DBD">
      <w:pPr>
        <w:spacing w:after="150" w:line="360" w:lineRule="atLeast"/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</w:pPr>
    </w:p>
    <w:p w:rsidR="0072790E" w:rsidRDefault="0072790E" w:rsidP="00165DBD">
      <w:pPr>
        <w:spacing w:after="150" w:line="360" w:lineRule="atLeast"/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</w:pPr>
      <w:r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>From our records (yearly production figures and failure data), readhead MTBF in continuous use is 2,013 years</w:t>
      </w:r>
    </w:p>
    <w:p w:rsidR="0072790E" w:rsidRDefault="0072790E" w:rsidP="00165DBD">
      <w:pPr>
        <w:spacing w:after="150" w:line="360" w:lineRule="atLeast"/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</w:pPr>
    </w:p>
    <w:p w:rsidR="0072790E" w:rsidRPr="0072790E" w:rsidRDefault="00165DBD" w:rsidP="00165DBD">
      <w:pPr>
        <w:spacing w:after="150" w:line="360" w:lineRule="atLeast"/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</w:pPr>
      <w:r w:rsidRPr="00165DBD"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 xml:space="preserve">As a practical example, if a customer has </w:t>
      </w:r>
      <w:r w:rsidR="0072790E" w:rsidRPr="0072790E"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>28 three axis</w:t>
      </w:r>
      <w:r w:rsidRPr="00165DBD"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 xml:space="preserve"> machines</w:t>
      </w:r>
      <w:r w:rsidR="0072790E" w:rsidRPr="0072790E"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 xml:space="preserve">, </w:t>
      </w:r>
      <w:r w:rsidRPr="00165DBD"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>the installed readhead population (</w:t>
      </w:r>
      <m:oMath>
        <m:r>
          <w:rPr>
            <w:rFonts w:ascii="Cambria Math" w:eastAsia="Times New Roman" w:hAnsi="Cambria Math" w:cs="Segoe UI Semilight"/>
            <w:color w:val="373737"/>
            <w:sz w:val="28"/>
            <w:szCs w:val="28"/>
            <w:lang w:eastAsia="en-GB"/>
          </w:rPr>
          <m:t>p</m:t>
        </m:r>
      </m:oMath>
      <w:r w:rsidRPr="00165DBD"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 xml:space="preserve">) is </w:t>
      </w:r>
      <w:r w:rsidR="0072790E" w:rsidRPr="0072790E"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>84.</w:t>
      </w:r>
      <w:r w:rsidRPr="00165DBD"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 xml:space="preserve"> The mean interval (</w:t>
      </w:r>
      <m:oMath>
        <m:r>
          <w:rPr>
            <w:rFonts w:ascii="Cambria Math" w:eastAsia="Times New Roman" w:hAnsi="Cambria Math" w:cs="Segoe UI Semilight"/>
            <w:color w:val="373737"/>
            <w:sz w:val="28"/>
            <w:szCs w:val="28"/>
            <w:lang w:eastAsia="en-GB"/>
          </w:rPr>
          <m:t>t</m:t>
        </m:r>
      </m:oMath>
      <w:r w:rsidRPr="00165DBD"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 xml:space="preserve">) between any readhead failure (i.e. n = 1) may be calculated </w:t>
      </w:r>
      <w:r w:rsidR="0072790E" w:rsidRPr="0072790E"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>by rearranging the MTBF formula:</w:t>
      </w:r>
    </w:p>
    <w:p w:rsidR="0072790E" w:rsidRDefault="0072790E" w:rsidP="00165DBD">
      <w:pPr>
        <w:spacing w:after="150" w:line="360" w:lineRule="atLeast"/>
        <w:rPr>
          <w:rFonts w:ascii="Segoe UI Semilight" w:eastAsia="Times New Roman" w:hAnsi="Segoe UI Semilight" w:cs="Segoe UI Semilight"/>
          <w:color w:val="373737"/>
          <w:sz w:val="28"/>
          <w:szCs w:val="28"/>
          <w:lang w:eastAsia="en-GB"/>
        </w:rPr>
      </w:pPr>
    </w:p>
    <w:p w:rsidR="0072790E" w:rsidRPr="0072790E" w:rsidRDefault="0072790E" w:rsidP="00165DBD">
      <w:pPr>
        <w:spacing w:after="150" w:line="360" w:lineRule="atLeast"/>
        <w:rPr>
          <w:rFonts w:ascii="Segoe UI Semilight" w:eastAsia="Times New Roman" w:hAnsi="Segoe UI Semilight" w:cs="Segoe UI Semilight"/>
          <w:color w:val="373737"/>
          <w:sz w:val="28"/>
          <w:szCs w:val="28"/>
          <w:lang w:eastAsia="en-GB"/>
        </w:rPr>
      </w:pPr>
      <m:oMath>
        <m:r>
          <w:rPr>
            <w:rFonts w:ascii="Cambria Math" w:eastAsia="Times New Roman" w:hAnsi="Cambria Math" w:cs="Segoe UI Semilight"/>
            <w:color w:val="373737"/>
            <w:sz w:val="28"/>
            <w:szCs w:val="28"/>
            <w:lang w:eastAsia="en-GB"/>
          </w:rPr>
          <m:t>t</m:t>
        </m:r>
      </m:oMath>
      <w:r>
        <w:rPr>
          <w:rFonts w:ascii="Segoe UI Semilight" w:eastAsia="Times New Roman" w:hAnsi="Segoe UI Semilight" w:cs="Segoe UI Semilight"/>
          <w:color w:val="373737"/>
          <w:sz w:val="28"/>
          <w:szCs w:val="28"/>
          <w:lang w:eastAsia="en-GB"/>
        </w:rPr>
        <w:t xml:space="preserve"> = </w:t>
      </w:r>
      <m:oMath>
        <m:f>
          <m:fPr>
            <m:ctrlPr>
              <w:rPr>
                <w:rFonts w:ascii="Cambria Math" w:eastAsia="Times New Roman" w:hAnsi="Cambria Math" w:cs="Segoe UI Semilight"/>
                <w:i/>
                <w:color w:val="373737"/>
                <w:sz w:val="36"/>
                <w:szCs w:val="36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Segoe UI Semilight"/>
                <w:color w:val="373737"/>
                <w:sz w:val="36"/>
                <w:szCs w:val="36"/>
                <w:lang w:eastAsia="en-GB"/>
              </w:rPr>
              <m:t>Mn</m:t>
            </m:r>
          </m:num>
          <m:den>
            <m:r>
              <w:rPr>
                <w:rFonts w:ascii="Cambria Math" w:eastAsia="Times New Roman" w:hAnsi="Cambria Math" w:cs="Segoe UI Semilight"/>
                <w:color w:val="373737"/>
                <w:sz w:val="36"/>
                <w:szCs w:val="36"/>
                <w:lang w:eastAsia="en-GB"/>
              </w:rPr>
              <m:t>p</m:t>
            </m:r>
          </m:den>
        </m:f>
      </m:oMath>
      <w:r>
        <w:rPr>
          <w:rFonts w:ascii="Segoe UI Semilight" w:eastAsia="Times New Roman" w:hAnsi="Segoe UI Semilight" w:cs="Segoe UI Semilight"/>
          <w:color w:val="373737"/>
          <w:sz w:val="36"/>
          <w:szCs w:val="36"/>
          <w:lang w:eastAsia="en-GB"/>
        </w:rPr>
        <w:t xml:space="preserve"> </w:t>
      </w:r>
      <w:r w:rsidRPr="0072790E">
        <w:rPr>
          <w:rFonts w:ascii="Segoe UI Semilight" w:eastAsia="Times New Roman" w:hAnsi="Segoe UI Semilight" w:cs="Segoe UI Semilight"/>
          <w:color w:val="373737"/>
          <w:sz w:val="28"/>
          <w:szCs w:val="28"/>
          <w:lang w:eastAsia="en-GB"/>
        </w:rPr>
        <w:t>=</w:t>
      </w:r>
      <w:r>
        <w:rPr>
          <w:rFonts w:ascii="Segoe UI Semilight" w:eastAsia="Times New Roman" w:hAnsi="Segoe UI Semilight" w:cs="Segoe UI Semilight"/>
          <w:color w:val="373737"/>
          <w:sz w:val="36"/>
          <w:szCs w:val="36"/>
          <w:lang w:eastAsia="en-GB"/>
        </w:rPr>
        <w:t xml:space="preserve"> </w:t>
      </w:r>
      <m:oMath>
        <m:f>
          <m:fPr>
            <m:ctrlPr>
              <w:rPr>
                <w:rFonts w:ascii="Cambria Math" w:eastAsia="Times New Roman" w:hAnsi="Cambria Math" w:cs="Segoe UI Semilight"/>
                <w:i/>
                <w:color w:val="373737"/>
                <w:sz w:val="36"/>
                <w:szCs w:val="36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Segoe UI Semilight"/>
                <w:color w:val="373737"/>
                <w:sz w:val="36"/>
                <w:szCs w:val="36"/>
                <w:lang w:eastAsia="en-GB"/>
              </w:rPr>
              <m:t>2,013 years*1</m:t>
            </m:r>
          </m:num>
          <m:den>
            <m:r>
              <w:rPr>
                <w:rFonts w:ascii="Cambria Math" w:eastAsia="Times New Roman" w:hAnsi="Cambria Math" w:cs="Segoe UI Semilight"/>
                <w:color w:val="373737"/>
                <w:sz w:val="36"/>
                <w:szCs w:val="36"/>
                <w:lang w:eastAsia="en-GB"/>
              </w:rPr>
              <m:t>84</m:t>
            </m:r>
          </m:den>
        </m:f>
      </m:oMath>
      <w:r>
        <w:rPr>
          <w:rFonts w:ascii="Segoe UI Semilight" w:eastAsia="Times New Roman" w:hAnsi="Segoe UI Semilight" w:cs="Segoe UI Semilight"/>
          <w:color w:val="373737"/>
          <w:sz w:val="36"/>
          <w:szCs w:val="36"/>
          <w:lang w:eastAsia="en-GB"/>
        </w:rPr>
        <w:t xml:space="preserve"> </w:t>
      </w:r>
      <w:r w:rsidRPr="0072790E">
        <w:rPr>
          <w:rFonts w:ascii="Segoe UI Semilight" w:eastAsia="Times New Roman" w:hAnsi="Segoe UI Semilight" w:cs="Segoe UI Semilight"/>
          <w:color w:val="373737"/>
          <w:sz w:val="28"/>
          <w:szCs w:val="28"/>
          <w:lang w:eastAsia="en-GB"/>
        </w:rPr>
        <w:t>=</w:t>
      </w:r>
      <w:r>
        <w:rPr>
          <w:rFonts w:ascii="Segoe UI Semilight" w:eastAsia="Times New Roman" w:hAnsi="Segoe UI Semilight" w:cs="Segoe UI Semilight"/>
          <w:color w:val="373737"/>
          <w:sz w:val="28"/>
          <w:szCs w:val="28"/>
          <w:lang w:eastAsia="en-GB"/>
        </w:rPr>
        <w:t xml:space="preserve"> </w:t>
      </w:r>
      <w:r w:rsidRPr="0072790E"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>approximately 24 years</w:t>
      </w:r>
    </w:p>
    <w:p w:rsidR="0072790E" w:rsidRDefault="0072790E" w:rsidP="00165DBD">
      <w:pPr>
        <w:spacing w:after="150" w:line="360" w:lineRule="atLeast"/>
        <w:rPr>
          <w:rFonts w:ascii="Segoe UI Semilight" w:eastAsia="Times New Roman" w:hAnsi="Segoe UI Semilight" w:cs="Segoe UI Semilight"/>
          <w:color w:val="373737"/>
          <w:sz w:val="23"/>
          <w:szCs w:val="23"/>
          <w:lang w:eastAsia="en-GB"/>
        </w:rPr>
      </w:pPr>
    </w:p>
    <w:p w:rsidR="00165DBD" w:rsidRPr="00165DBD" w:rsidRDefault="00165DBD" w:rsidP="00165DBD">
      <w:pPr>
        <w:spacing w:after="150" w:line="360" w:lineRule="atLeast"/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</w:pPr>
      <w:r w:rsidRPr="00165DBD"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>Therefore with a total of</w:t>
      </w:r>
      <w:r w:rsidR="0072790E" w:rsidRPr="0072790E"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 xml:space="preserve"> 84</w:t>
      </w:r>
      <w:r w:rsidRPr="00165DBD"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 xml:space="preserve"> readheads running 24 hours per day, this customer could expect a single readhead fail</w:t>
      </w:r>
      <w:r w:rsidR="0072790E" w:rsidRPr="0072790E"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>ure approximately once every 24</w:t>
      </w:r>
      <w:r w:rsidRPr="00165DBD"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 xml:space="preserve"> years.</w:t>
      </w:r>
    </w:p>
    <w:p w:rsidR="00CD567D" w:rsidRDefault="00165DBD" w:rsidP="00165DBD">
      <w:pPr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</w:pPr>
      <w:r w:rsidRPr="0072790E"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>This information is not a guarantee of product reliability and does not represent a condition of warranty.</w:t>
      </w:r>
    </w:p>
    <w:p w:rsidR="00404948" w:rsidRDefault="00404948" w:rsidP="00165DBD">
      <w:pPr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</w:pPr>
    </w:p>
    <w:p w:rsidR="00404948" w:rsidRPr="0072790E" w:rsidRDefault="00404948" w:rsidP="00165DBD">
      <w:pPr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>For MTBF data for other Renishaw encoder series</w:t>
      </w:r>
      <w:r w:rsidR="00371824"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>,</w:t>
      </w:r>
      <w:r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 xml:space="preserve"> please contact </w:t>
      </w:r>
      <w:r w:rsidRPr="00404948">
        <w:rPr>
          <w:rFonts w:ascii="Segoe UI Semilight" w:eastAsia="Times New Roman" w:hAnsi="Segoe UI Semilight" w:cs="Segoe UI Semilight"/>
          <w:color w:val="373737"/>
          <w:sz w:val="24"/>
          <w:szCs w:val="24"/>
          <w:lang w:eastAsia="en-GB"/>
        </w:rPr>
        <w:t>your nearest Renishaw representative.</w:t>
      </w:r>
    </w:p>
    <w:sectPr w:rsidR="00404948" w:rsidRPr="0072790E" w:rsidSect="000E6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5DBD"/>
    <w:rsid w:val="00091899"/>
    <w:rsid w:val="000E6045"/>
    <w:rsid w:val="00165DBD"/>
    <w:rsid w:val="00371824"/>
    <w:rsid w:val="00404948"/>
    <w:rsid w:val="0072790E"/>
    <w:rsid w:val="00C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8BD006-44F5-4CCD-AE66-69342080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5DBD"/>
    <w:pPr>
      <w:spacing w:after="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65D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BD7923B9.dotm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Maule</dc:creator>
  <cp:lastModifiedBy>Isabelle Duffin</cp:lastModifiedBy>
  <cp:revision>3</cp:revision>
  <dcterms:created xsi:type="dcterms:W3CDTF">2015-09-25T09:15:00Z</dcterms:created>
  <dcterms:modified xsi:type="dcterms:W3CDTF">2015-10-08T14:47:00Z</dcterms:modified>
</cp:coreProperties>
</file>