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47AEA7D4" w:rsidR="00AC302B" w:rsidRPr="00FE5A25" w:rsidRDefault="00955673">
      <w:pPr>
        <w:pStyle w:val="Heading1"/>
        <w:spacing w:line="280" w:lineRule="exact"/>
        <w:ind w:left="0"/>
      </w:pPr>
      <w:r>
        <w:rPr>
          <w:noProof/>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t xml:space="preserve"> </w:t>
      </w:r>
    </w:p>
    <w:p w14:paraId="747BA830"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46F01ED1" w14:textId="22243CE1" w:rsidR="003F06B0" w:rsidRDefault="00B53F05" w:rsidP="003F06B0">
      <w:pPr>
        <w:spacing w:line="288" w:lineRule="auto"/>
        <w:ind w:left="562" w:right="562"/>
        <w:contextualSpacing/>
        <w:jc w:val="both"/>
        <w:rPr>
          <w:rStyle w:val="Strong"/>
          <w:rFonts w:cs="Arial"/>
          <w:sz w:val="22"/>
          <w:szCs w:val="22"/>
        </w:rPr>
      </w:pPr>
      <w:r>
        <w:rPr>
          <w:rStyle w:val="Strong"/>
          <w:sz w:val="22"/>
          <w:szCs w:val="22"/>
        </w:rPr>
        <w:t>La colaboración de Renishaw demuestra las capacidades de la fabricación aditiva en la fabricación de implantes de columna</w:t>
      </w:r>
    </w:p>
    <w:p w14:paraId="6340435A" w14:textId="77777777" w:rsidR="00381056" w:rsidRDefault="00381056" w:rsidP="003F06B0">
      <w:pPr>
        <w:spacing w:line="288" w:lineRule="auto"/>
        <w:ind w:left="562" w:right="562"/>
        <w:contextualSpacing/>
        <w:jc w:val="both"/>
        <w:rPr>
          <w:rStyle w:val="Strong"/>
          <w:rFonts w:cs="Arial"/>
          <w:sz w:val="22"/>
          <w:szCs w:val="22"/>
        </w:rPr>
      </w:pPr>
    </w:p>
    <w:p w14:paraId="04DB08A1" w14:textId="36E9CB6A" w:rsidR="003F06B0" w:rsidRDefault="00381056" w:rsidP="003F06B0">
      <w:pPr>
        <w:spacing w:line="288" w:lineRule="auto"/>
        <w:ind w:left="562" w:right="562"/>
        <w:contextualSpacing/>
        <w:jc w:val="both"/>
        <w:rPr>
          <w:rStyle w:val="Strong"/>
          <w:rFonts w:cs="Arial"/>
          <w:b w:val="0"/>
          <w:sz w:val="22"/>
          <w:szCs w:val="22"/>
        </w:rPr>
      </w:pPr>
      <w:r w:rsidRPr="006425E1">
        <w:rPr>
          <w:rStyle w:val="Strong"/>
          <w:sz w:val="22"/>
          <w:szCs w:val="22"/>
        </w:rPr>
        <w:t xml:space="preserve">Renishaw, </w:t>
      </w:r>
      <w:hyperlink r:id="rId8" w:history="1">
        <w:r>
          <w:rPr>
            <w:rStyle w:val="Hyperlink"/>
            <w:sz w:val="22"/>
            <w:szCs w:val="22"/>
          </w:rPr>
          <w:t>empresa de ingeniería internacional</w:t>
        </w:r>
      </w:hyperlink>
      <w:r>
        <w:rPr>
          <w:rStyle w:val="Strong"/>
          <w:b w:val="0"/>
          <w:sz w:val="22"/>
          <w:szCs w:val="22"/>
        </w:rPr>
        <w:t xml:space="preserve">, colabora con dos empresas de tecnología avanzada para demostrar las ventajas de la fabricación aditiva (FA) en la producción de implantes de columna. En colaboración con </w:t>
      </w:r>
      <w:proofErr w:type="spellStart"/>
      <w:r>
        <w:rPr>
          <w:rStyle w:val="Strong"/>
          <w:b w:val="0"/>
          <w:sz w:val="22"/>
          <w:szCs w:val="22"/>
        </w:rPr>
        <w:t>Irish</w:t>
      </w:r>
      <w:proofErr w:type="spellEnd"/>
      <w:r>
        <w:rPr>
          <w:rStyle w:val="Strong"/>
          <w:b w:val="0"/>
          <w:sz w:val="22"/>
          <w:szCs w:val="22"/>
        </w:rPr>
        <w:t xml:space="preserve"> </w:t>
      </w:r>
      <w:proofErr w:type="spellStart"/>
      <w:r>
        <w:rPr>
          <w:rStyle w:val="Strong"/>
          <w:b w:val="0"/>
          <w:sz w:val="22"/>
          <w:szCs w:val="22"/>
        </w:rPr>
        <w:t>Manufacturing</w:t>
      </w:r>
      <w:proofErr w:type="spellEnd"/>
      <w:r>
        <w:rPr>
          <w:rStyle w:val="Strong"/>
          <w:b w:val="0"/>
          <w:sz w:val="22"/>
          <w:szCs w:val="22"/>
        </w:rPr>
        <w:t xml:space="preserve"> </w:t>
      </w:r>
      <w:proofErr w:type="spellStart"/>
      <w:r>
        <w:rPr>
          <w:rStyle w:val="Strong"/>
          <w:b w:val="0"/>
          <w:sz w:val="22"/>
          <w:szCs w:val="22"/>
        </w:rPr>
        <w:t>Research</w:t>
      </w:r>
      <w:proofErr w:type="spellEnd"/>
      <w:r>
        <w:rPr>
          <w:rStyle w:val="Strong"/>
          <w:b w:val="0"/>
          <w:sz w:val="22"/>
          <w:szCs w:val="22"/>
        </w:rPr>
        <w:t xml:space="preserve"> (IMR) y </w:t>
      </w:r>
      <w:proofErr w:type="spellStart"/>
      <w:r>
        <w:rPr>
          <w:rStyle w:val="Strong"/>
          <w:b w:val="0"/>
          <w:sz w:val="22"/>
          <w:szCs w:val="22"/>
        </w:rPr>
        <w:t>nTopology</w:t>
      </w:r>
      <w:proofErr w:type="spellEnd"/>
      <w:r>
        <w:rPr>
          <w:rStyle w:val="Strong"/>
          <w:b w:val="0"/>
          <w:sz w:val="22"/>
          <w:szCs w:val="22"/>
        </w:rPr>
        <w:t>, el proyecto demuestra la facilidad de transición del diseño a la FA cuando se eligen los socios adecuados.</w:t>
      </w:r>
    </w:p>
    <w:p w14:paraId="73652152" w14:textId="4B5BF6C1" w:rsidR="009C3BF0" w:rsidRDefault="009C3BF0" w:rsidP="003F06B0">
      <w:pPr>
        <w:spacing w:line="288" w:lineRule="auto"/>
        <w:ind w:left="562" w:right="562"/>
        <w:contextualSpacing/>
        <w:jc w:val="both"/>
        <w:rPr>
          <w:rStyle w:val="Strong"/>
          <w:rFonts w:cs="Arial"/>
          <w:b w:val="0"/>
          <w:sz w:val="22"/>
          <w:szCs w:val="22"/>
        </w:rPr>
      </w:pPr>
    </w:p>
    <w:p w14:paraId="221632B7" w14:textId="760F1CA4" w:rsidR="009C3BF0" w:rsidRDefault="00230E75" w:rsidP="009C3BF0">
      <w:pPr>
        <w:spacing w:line="288" w:lineRule="auto"/>
        <w:ind w:left="562" w:right="562"/>
        <w:contextualSpacing/>
        <w:jc w:val="both"/>
        <w:rPr>
          <w:rStyle w:val="Strong"/>
          <w:rFonts w:cs="Arial"/>
          <w:b w:val="0"/>
          <w:sz w:val="22"/>
          <w:szCs w:val="22"/>
        </w:rPr>
      </w:pPr>
      <w:r>
        <w:rPr>
          <w:rStyle w:val="Strong"/>
          <w:b w:val="0"/>
          <w:sz w:val="22"/>
          <w:szCs w:val="22"/>
        </w:rPr>
        <w:t xml:space="preserve">IMR, una organización de investigación de </w:t>
      </w:r>
      <w:r w:rsidR="004E1449">
        <w:rPr>
          <w:rStyle w:val="Strong"/>
          <w:b w:val="0"/>
          <w:sz w:val="22"/>
          <w:szCs w:val="22"/>
        </w:rPr>
        <w:t>fabricación</w:t>
      </w:r>
      <w:r>
        <w:rPr>
          <w:rStyle w:val="Strong"/>
          <w:b w:val="0"/>
          <w:sz w:val="22"/>
          <w:szCs w:val="22"/>
        </w:rPr>
        <w:t xml:space="preserve"> diseñó a medida un implante de titanio de columna, específico para la columna cervical, mediante el software de fabricación avanzada de la empresa de diseño generativo </w:t>
      </w:r>
      <w:proofErr w:type="spellStart"/>
      <w:r>
        <w:rPr>
          <w:rStyle w:val="Strong"/>
          <w:b w:val="0"/>
          <w:sz w:val="22"/>
          <w:szCs w:val="22"/>
        </w:rPr>
        <w:t>nTopology</w:t>
      </w:r>
      <w:proofErr w:type="spellEnd"/>
      <w:r>
        <w:rPr>
          <w:rStyle w:val="Strong"/>
          <w:b w:val="0"/>
          <w:sz w:val="22"/>
          <w:szCs w:val="22"/>
        </w:rPr>
        <w:t xml:space="preserve">. Seguidamente, IMR fabricó los implantes en el sistema de FA metálica RenAM 500M de Renishaw. </w:t>
      </w:r>
    </w:p>
    <w:p w14:paraId="6D4B2C76" w14:textId="6882C5C8" w:rsidR="00D969BE" w:rsidRDefault="00D969BE" w:rsidP="009C3BF0">
      <w:pPr>
        <w:spacing w:line="288" w:lineRule="auto"/>
        <w:ind w:left="562" w:right="562"/>
        <w:contextualSpacing/>
        <w:jc w:val="both"/>
        <w:rPr>
          <w:rStyle w:val="Strong"/>
          <w:rFonts w:cs="Arial"/>
          <w:b w:val="0"/>
          <w:sz w:val="22"/>
          <w:szCs w:val="22"/>
        </w:rPr>
      </w:pPr>
    </w:p>
    <w:p w14:paraId="7BEA69A3" w14:textId="089041A5" w:rsidR="00D969BE" w:rsidRDefault="00785B66" w:rsidP="009C3BF0">
      <w:pPr>
        <w:spacing w:line="288" w:lineRule="auto"/>
        <w:ind w:left="562" w:right="562"/>
        <w:contextualSpacing/>
        <w:jc w:val="both"/>
        <w:rPr>
          <w:rStyle w:val="Strong"/>
          <w:rFonts w:cs="Arial"/>
          <w:b w:val="0"/>
          <w:sz w:val="22"/>
          <w:szCs w:val="22"/>
        </w:rPr>
      </w:pPr>
      <w:r>
        <w:rPr>
          <w:rStyle w:val="Strong"/>
          <w:b w:val="0"/>
          <w:sz w:val="22"/>
          <w:szCs w:val="22"/>
        </w:rPr>
        <w:t xml:space="preserve">“Con FA, es posible crear implantes de columna con estructura </w:t>
      </w:r>
      <w:proofErr w:type="spellStart"/>
      <w:r>
        <w:rPr>
          <w:rStyle w:val="Strong"/>
          <w:b w:val="0"/>
          <w:sz w:val="22"/>
          <w:szCs w:val="22"/>
        </w:rPr>
        <w:t>lattice</w:t>
      </w:r>
      <w:proofErr w:type="spellEnd"/>
      <w:r>
        <w:rPr>
          <w:rStyle w:val="Strong"/>
          <w:b w:val="0"/>
          <w:sz w:val="22"/>
          <w:szCs w:val="22"/>
        </w:rPr>
        <w:t xml:space="preserve">, imposibles de fabricar con las técnicas de fabricación convencionales”, explica Ed Littlewood, director de marketing de la División de producto médico-dental de Renishaw. “Un implante con estructura </w:t>
      </w:r>
      <w:proofErr w:type="spellStart"/>
      <w:r>
        <w:rPr>
          <w:rStyle w:val="Strong"/>
          <w:b w:val="0"/>
          <w:sz w:val="22"/>
          <w:szCs w:val="22"/>
        </w:rPr>
        <w:t>lattice</w:t>
      </w:r>
      <w:proofErr w:type="spellEnd"/>
      <w:r>
        <w:rPr>
          <w:rStyle w:val="Strong"/>
          <w:b w:val="0"/>
          <w:sz w:val="22"/>
          <w:szCs w:val="22"/>
        </w:rPr>
        <w:t xml:space="preserve"> es ligero, puede optimizarse para cumplir con las condiciones de carga necesarias y tiene un área de superficie mayor, que puede favorecer la osteointegración. Por tanto, en FA pueden diseñarse implantes que imiten las propiedades mecánicas del hueso y, así, mejorar la recuperación del paciente. Sin embargo, nada de esto es posible si no dispone de las herramientas para crear el diseño”.</w:t>
      </w:r>
    </w:p>
    <w:p w14:paraId="4C4EF887" w14:textId="5B531565" w:rsidR="00785B66" w:rsidRDefault="00785B66" w:rsidP="009C3BF0">
      <w:pPr>
        <w:spacing w:line="288" w:lineRule="auto"/>
        <w:ind w:left="562" w:right="562"/>
        <w:contextualSpacing/>
        <w:jc w:val="both"/>
        <w:rPr>
          <w:rStyle w:val="Strong"/>
          <w:rFonts w:cs="Arial"/>
          <w:b w:val="0"/>
          <w:sz w:val="22"/>
          <w:szCs w:val="22"/>
        </w:rPr>
      </w:pPr>
    </w:p>
    <w:p w14:paraId="4E6BD277" w14:textId="386684D7" w:rsidR="00785B66" w:rsidRDefault="00CA1E17" w:rsidP="009C3BF0">
      <w:pPr>
        <w:spacing w:line="288" w:lineRule="auto"/>
        <w:ind w:left="562" w:right="562"/>
        <w:contextualSpacing/>
        <w:jc w:val="both"/>
        <w:rPr>
          <w:rStyle w:val="Strong"/>
          <w:rFonts w:cs="Arial"/>
          <w:b w:val="0"/>
          <w:sz w:val="22"/>
          <w:szCs w:val="22"/>
        </w:rPr>
      </w:pPr>
      <w:r>
        <w:rPr>
          <w:rStyle w:val="Strong"/>
          <w:b w:val="0"/>
          <w:sz w:val="22"/>
          <w:szCs w:val="22"/>
        </w:rPr>
        <w:t xml:space="preserve">“Las herramientas de CAD tradicionales no están pensadas para diseñar estructuras </w:t>
      </w:r>
      <w:proofErr w:type="spellStart"/>
      <w:r>
        <w:rPr>
          <w:rStyle w:val="Strong"/>
          <w:b w:val="0"/>
          <w:sz w:val="22"/>
          <w:szCs w:val="22"/>
        </w:rPr>
        <w:t>lattice</w:t>
      </w:r>
      <w:proofErr w:type="spellEnd"/>
      <w:r>
        <w:rPr>
          <w:rStyle w:val="Strong"/>
          <w:b w:val="0"/>
          <w:sz w:val="22"/>
          <w:szCs w:val="22"/>
        </w:rPr>
        <w:t xml:space="preserve"> complejas, por tanto, el trabajo sería muy difícil o, incluso, imposible”. Explica Matt </w:t>
      </w:r>
      <w:proofErr w:type="spellStart"/>
      <w:r>
        <w:rPr>
          <w:rStyle w:val="Strong"/>
          <w:b w:val="0"/>
          <w:sz w:val="22"/>
          <w:szCs w:val="22"/>
        </w:rPr>
        <w:t>Rohr</w:t>
      </w:r>
      <w:proofErr w:type="spellEnd"/>
      <w:r>
        <w:rPr>
          <w:rStyle w:val="Strong"/>
          <w:b w:val="0"/>
          <w:sz w:val="22"/>
          <w:szCs w:val="22"/>
        </w:rPr>
        <w:t xml:space="preserve">, director técnico de aplicaciones de </w:t>
      </w:r>
      <w:proofErr w:type="spellStart"/>
      <w:r>
        <w:rPr>
          <w:rStyle w:val="Strong"/>
          <w:b w:val="0"/>
          <w:sz w:val="22"/>
          <w:szCs w:val="22"/>
        </w:rPr>
        <w:t>nTopology</w:t>
      </w:r>
      <w:proofErr w:type="spellEnd"/>
      <w:r>
        <w:rPr>
          <w:rStyle w:val="Strong"/>
          <w:b w:val="0"/>
          <w:sz w:val="22"/>
          <w:szCs w:val="22"/>
        </w:rPr>
        <w:t>. “</w:t>
      </w:r>
      <w:proofErr w:type="spellStart"/>
      <w:r>
        <w:rPr>
          <w:rStyle w:val="Strong"/>
          <w:b w:val="0"/>
          <w:sz w:val="22"/>
          <w:szCs w:val="22"/>
        </w:rPr>
        <w:t>nTopology</w:t>
      </w:r>
      <w:proofErr w:type="spellEnd"/>
      <w:r>
        <w:rPr>
          <w:rStyle w:val="Strong"/>
          <w:b w:val="0"/>
          <w:sz w:val="22"/>
          <w:szCs w:val="22"/>
        </w:rPr>
        <w:t xml:space="preserve"> se ha diseñado para complementar los flujos de trabajo existentes y facilitar su realización. Hemos reducido el tiempo de diseño de estructuras complejas de días a minutos, un elemento crucial para cumplir los plazos previstos para este proyecto”.</w:t>
      </w:r>
    </w:p>
    <w:p w14:paraId="4F81B320" w14:textId="77777777" w:rsidR="00CA1E17" w:rsidRDefault="00CA1E17" w:rsidP="009C3BF0">
      <w:pPr>
        <w:spacing w:line="288" w:lineRule="auto"/>
        <w:ind w:left="562" w:right="562"/>
        <w:contextualSpacing/>
        <w:jc w:val="both"/>
        <w:rPr>
          <w:rStyle w:val="Strong"/>
          <w:rFonts w:cs="Arial"/>
          <w:b w:val="0"/>
          <w:sz w:val="22"/>
          <w:szCs w:val="22"/>
        </w:rPr>
      </w:pPr>
    </w:p>
    <w:p w14:paraId="33E12301" w14:textId="1886B98C" w:rsidR="00785B66" w:rsidRPr="009C3BF0" w:rsidRDefault="00311FA6" w:rsidP="009C3BF0">
      <w:pPr>
        <w:spacing w:line="288" w:lineRule="auto"/>
        <w:ind w:left="562" w:right="562"/>
        <w:contextualSpacing/>
        <w:jc w:val="both"/>
        <w:rPr>
          <w:rStyle w:val="Strong"/>
          <w:rFonts w:cs="Arial"/>
          <w:b w:val="0"/>
          <w:sz w:val="22"/>
          <w:szCs w:val="22"/>
        </w:rPr>
      </w:pPr>
      <w:r>
        <w:rPr>
          <w:rStyle w:val="Strong"/>
          <w:b w:val="0"/>
          <w:sz w:val="22"/>
          <w:szCs w:val="22"/>
        </w:rPr>
        <w:t xml:space="preserve">“Renishaw ha trabajado sin descanso con nosotros para mejorar el proceso de FA en la fabricación de implantes de columna”, comenta Sean </w:t>
      </w:r>
      <w:proofErr w:type="spellStart"/>
      <w:r>
        <w:rPr>
          <w:rStyle w:val="Strong"/>
          <w:b w:val="0"/>
          <w:sz w:val="22"/>
          <w:szCs w:val="22"/>
        </w:rPr>
        <w:t>McConnell</w:t>
      </w:r>
      <w:proofErr w:type="spellEnd"/>
      <w:r>
        <w:rPr>
          <w:rStyle w:val="Strong"/>
          <w:b w:val="0"/>
          <w:sz w:val="22"/>
          <w:szCs w:val="22"/>
        </w:rPr>
        <w:t xml:space="preserve">, ingeniero jefe de investigación en IMR. “Juntos, hemos diseñado un conjunto de experimentos que generan el ajuste de parámetros más apropiado para el producto. Por consiguiente, hemos reducido la cantidad de </w:t>
      </w:r>
      <w:proofErr w:type="spellStart"/>
      <w:proofErr w:type="gramStart"/>
      <w:r>
        <w:rPr>
          <w:rStyle w:val="Strong"/>
          <w:b w:val="0"/>
          <w:sz w:val="22"/>
          <w:szCs w:val="22"/>
        </w:rPr>
        <w:t>post-procesos</w:t>
      </w:r>
      <w:proofErr w:type="spellEnd"/>
      <w:proofErr w:type="gramEnd"/>
      <w:r>
        <w:rPr>
          <w:rStyle w:val="Strong"/>
          <w:b w:val="0"/>
          <w:sz w:val="22"/>
          <w:szCs w:val="22"/>
        </w:rPr>
        <w:t xml:space="preserve"> necesarios en los elementos cruciales de los implantes en un factor de diez”.</w:t>
      </w:r>
    </w:p>
    <w:bookmarkEnd w:id="0"/>
    <w:bookmarkEnd w:id="1"/>
    <w:p w14:paraId="0744DF2B" w14:textId="5492F453" w:rsidR="00C820AE" w:rsidRPr="006C7956" w:rsidRDefault="00C820AE" w:rsidP="006C7956">
      <w:pPr>
        <w:spacing w:line="288" w:lineRule="auto"/>
        <w:ind w:left="562" w:right="562"/>
        <w:contextualSpacing/>
        <w:jc w:val="both"/>
        <w:rPr>
          <w:rStyle w:val="Strong"/>
        </w:rPr>
      </w:pPr>
    </w:p>
    <w:p w14:paraId="04EB52D3" w14:textId="609B7C2B" w:rsidR="005677F1" w:rsidRDefault="006C7956" w:rsidP="005677F1">
      <w:pPr>
        <w:spacing w:line="288" w:lineRule="auto"/>
        <w:ind w:left="562" w:right="562"/>
        <w:contextualSpacing/>
        <w:jc w:val="both"/>
        <w:rPr>
          <w:rStyle w:val="Strong"/>
          <w:rFonts w:cs="Arial"/>
          <w:b w:val="0"/>
          <w:sz w:val="22"/>
          <w:szCs w:val="22"/>
        </w:rPr>
      </w:pPr>
      <w:r>
        <w:rPr>
          <w:rStyle w:val="Strong"/>
          <w:b w:val="0"/>
          <w:sz w:val="22"/>
        </w:rPr>
        <w:t>Los pacientes diagnosticados con enfermedades como la enfermedad degenerativa de disco</w:t>
      </w:r>
      <w:r>
        <w:rPr>
          <w:rStyle w:val="Strong"/>
          <w:b w:val="0"/>
          <w:sz w:val="22"/>
          <w:szCs w:val="22"/>
        </w:rPr>
        <w:t xml:space="preserve">, hernia discal, espondilolistesis, estenosis espinal y </w:t>
      </w:r>
      <w:proofErr w:type="gramStart"/>
      <w:r>
        <w:rPr>
          <w:rStyle w:val="Strong"/>
          <w:b w:val="0"/>
          <w:sz w:val="22"/>
          <w:szCs w:val="22"/>
        </w:rPr>
        <w:t>osteoporo</w:t>
      </w:r>
      <w:bookmarkStart w:id="2" w:name="_GoBack"/>
      <w:bookmarkEnd w:id="2"/>
      <w:r>
        <w:rPr>
          <w:rStyle w:val="Strong"/>
          <w:b w:val="0"/>
          <w:sz w:val="22"/>
          <w:szCs w:val="22"/>
        </w:rPr>
        <w:t>sis,</w:t>
      </w:r>
      <w:proofErr w:type="gramEnd"/>
      <w:r>
        <w:rPr>
          <w:rStyle w:val="Strong"/>
          <w:b w:val="0"/>
          <w:sz w:val="22"/>
          <w:szCs w:val="22"/>
        </w:rPr>
        <w:t xml:space="preserve"> pueden necesitar implantes de columna para recuperar la altura intervertebral. El diseño de implantes mejorado gracias a la FA significa que podría reducirse la duración de las intervenciones quirúrgicas y las revisiones a los pacientes, por lo que también se precisan menos recursos y se ahorran costes en el sistema sanitario. </w:t>
      </w:r>
    </w:p>
    <w:p w14:paraId="171A5F1F" w14:textId="69BFF2F7" w:rsidR="005677F1" w:rsidRDefault="005677F1" w:rsidP="005677F1">
      <w:pPr>
        <w:spacing w:line="288" w:lineRule="auto"/>
        <w:ind w:left="562" w:right="562"/>
        <w:contextualSpacing/>
        <w:jc w:val="both"/>
        <w:rPr>
          <w:rStyle w:val="Strong"/>
          <w:rFonts w:cs="Arial"/>
          <w:b w:val="0"/>
          <w:sz w:val="22"/>
          <w:szCs w:val="22"/>
        </w:rPr>
      </w:pPr>
    </w:p>
    <w:p w14:paraId="31592D7F" w14:textId="5D22BBBC" w:rsidR="000812FB" w:rsidRPr="005677F1" w:rsidRDefault="005677F1" w:rsidP="005677F1">
      <w:pPr>
        <w:spacing w:line="288" w:lineRule="auto"/>
        <w:ind w:left="562" w:right="562"/>
        <w:contextualSpacing/>
        <w:jc w:val="both"/>
        <w:rPr>
          <w:rStyle w:val="Strong"/>
          <w:rFonts w:cs="Arial"/>
          <w:b w:val="0"/>
          <w:sz w:val="22"/>
          <w:szCs w:val="22"/>
        </w:rPr>
      </w:pPr>
      <w:r>
        <w:rPr>
          <w:rStyle w:val="Strong"/>
          <w:b w:val="0"/>
          <w:sz w:val="22"/>
          <w:szCs w:val="22"/>
        </w:rPr>
        <w:t xml:space="preserve">Renishaw también utiliza sus máquinas de FA para fabricar productos para el sector sanitario, como implantes cráneo maxilofaciales y estructuras dentales, en sus instalaciones de </w:t>
      </w:r>
      <w:proofErr w:type="spellStart"/>
      <w:r>
        <w:rPr>
          <w:rStyle w:val="Strong"/>
          <w:b w:val="0"/>
          <w:sz w:val="22"/>
          <w:szCs w:val="22"/>
        </w:rPr>
        <w:t>Miskin</w:t>
      </w:r>
      <w:proofErr w:type="spellEnd"/>
      <w:r>
        <w:rPr>
          <w:rStyle w:val="Strong"/>
          <w:b w:val="0"/>
          <w:sz w:val="22"/>
          <w:szCs w:val="22"/>
        </w:rPr>
        <w:t xml:space="preserve">, Gales del </w:t>
      </w:r>
      <w:r>
        <w:rPr>
          <w:rStyle w:val="Strong"/>
          <w:b w:val="0"/>
          <w:sz w:val="22"/>
          <w:szCs w:val="22"/>
        </w:rPr>
        <w:lastRenderedPageBreak/>
        <w:t xml:space="preserve">Sur. Para obtener más información sobre los productos de Renishaw para el sector sanitario, visite el sitio web de la empresa </w:t>
      </w:r>
      <w:hyperlink r:id="rId9" w:history="1">
        <w:r>
          <w:rPr>
            <w:rStyle w:val="Hyperlink"/>
            <w:sz w:val="22"/>
            <w:szCs w:val="22"/>
          </w:rPr>
          <w:t>https://www.renishaw.es/medical-and-healthcare</w:t>
        </w:r>
      </w:hyperlink>
      <w:r>
        <w:rPr>
          <w:rStyle w:val="Strong"/>
          <w:b w:val="0"/>
          <w:sz w:val="22"/>
          <w:szCs w:val="22"/>
        </w:rPr>
        <w:t xml:space="preserve">. </w:t>
      </w:r>
    </w:p>
    <w:p w14:paraId="72B7804F" w14:textId="2C5F06C1" w:rsidR="006C7956" w:rsidRDefault="006C7956" w:rsidP="006C7956">
      <w:pPr>
        <w:spacing w:afterLines="120" w:after="288" w:line="264" w:lineRule="auto"/>
        <w:ind w:right="720"/>
        <w:rPr>
          <w:rFonts w:cs="Arial"/>
          <w:sz w:val="22"/>
          <w:szCs w:val="22"/>
          <w:u w:val="single"/>
        </w:rPr>
      </w:pPr>
    </w:p>
    <w:p w14:paraId="78323907" w14:textId="58575E46" w:rsidR="00BA0542" w:rsidRDefault="00555478" w:rsidP="004008E8">
      <w:pPr>
        <w:spacing w:afterLines="120" w:after="288" w:line="264" w:lineRule="auto"/>
        <w:ind w:left="567" w:right="720"/>
        <w:rPr>
          <w:rFonts w:cs="Arial"/>
          <w:sz w:val="22"/>
          <w:szCs w:val="22"/>
        </w:rPr>
      </w:pPr>
      <w:r>
        <w:rPr>
          <w:sz w:val="22"/>
          <w:szCs w:val="22"/>
          <w:u w:val="single"/>
        </w:rPr>
        <w:t>Fin</w:t>
      </w:r>
      <w:r>
        <w:rPr>
          <w:sz w:val="22"/>
          <w:szCs w:val="22"/>
        </w:rPr>
        <w:t xml:space="preserve"> 392 palabras</w:t>
      </w:r>
    </w:p>
    <w:p w14:paraId="39C2BB87" w14:textId="77777777" w:rsidR="00964BEB" w:rsidRDefault="00964BEB" w:rsidP="003E4D19">
      <w:pPr>
        <w:spacing w:after="120" w:line="360" w:lineRule="auto"/>
        <w:ind w:right="567" w:firstLine="567"/>
        <w:jc w:val="both"/>
        <w:rPr>
          <w:rFonts w:cs="Arial"/>
          <w:sz w:val="22"/>
          <w:szCs w:val="22"/>
          <w:u w:val="single"/>
        </w:rPr>
      </w:pPr>
      <w:r>
        <w:rPr>
          <w:sz w:val="22"/>
          <w:szCs w:val="22"/>
          <w:u w:val="single"/>
        </w:rPr>
        <w:t>Notas para los editores</w:t>
      </w:r>
    </w:p>
    <w:p w14:paraId="7EA0F8CA" w14:textId="6B36F4F6" w:rsidR="004008E8" w:rsidRDefault="004008E8" w:rsidP="004008E8">
      <w:pPr>
        <w:spacing w:line="336" w:lineRule="auto"/>
        <w:ind w:left="567" w:right="567"/>
        <w:rPr>
          <w:rFonts w:cs="Arial"/>
          <w:sz w:val="22"/>
          <w:szCs w:val="22"/>
        </w:rPr>
      </w:pPr>
      <w:r>
        <w:rPr>
          <w:sz w:val="22"/>
          <w:szCs w:val="22"/>
        </w:rPr>
        <w:t xml:space="preserve">Renishaw, principal empresa tecnológica internacional, con sede en el Reino Unido, suministra productos y servicios para aplicaciones tan diversas como la fabricación de aerogeneradores y motores a reacción, pasando por la odontología y la cirugía cerebral. Tiene más de 4.500 empleados en 36 países, donde cuentan con oficinas filiales cien por </w:t>
      </w:r>
      <w:proofErr w:type="gramStart"/>
      <w:r>
        <w:rPr>
          <w:sz w:val="22"/>
          <w:szCs w:val="22"/>
        </w:rPr>
        <w:t>cien propiedad</w:t>
      </w:r>
      <w:proofErr w:type="gramEnd"/>
      <w:r>
        <w:rPr>
          <w:sz w:val="22"/>
          <w:szCs w:val="22"/>
        </w:rPr>
        <w:t xml:space="preserve"> de la empresa. </w:t>
      </w:r>
    </w:p>
    <w:p w14:paraId="007559EB" w14:textId="77777777" w:rsidR="004008E8" w:rsidRDefault="004008E8" w:rsidP="004008E8">
      <w:pPr>
        <w:spacing w:line="336" w:lineRule="auto"/>
        <w:ind w:left="567" w:right="567"/>
        <w:rPr>
          <w:rFonts w:cs="Arial"/>
          <w:sz w:val="22"/>
          <w:szCs w:val="22"/>
        </w:rPr>
      </w:pPr>
    </w:p>
    <w:p w14:paraId="5EC6975B" w14:textId="77777777" w:rsidR="00E12369" w:rsidRDefault="00E12369" w:rsidP="00E12369">
      <w:pPr>
        <w:spacing w:line="336" w:lineRule="auto"/>
        <w:ind w:left="567" w:right="567"/>
        <w:rPr>
          <w:rFonts w:cs="Arial"/>
          <w:sz w:val="22"/>
          <w:szCs w:val="22"/>
        </w:rPr>
      </w:pPr>
      <w:r>
        <w:rPr>
          <w:sz w:val="22"/>
          <w:szCs w:val="22"/>
        </w:rPr>
        <w:t>En el año fiscal que termina en junio de 2018, Renishaw obtuvo unas ventas de 611,5 millones de libras esterlinas, de las cuales, un 95% corresponde a exportaciones. Los principales mercados de la empresa son China, EE. UU., Alemania y Japón.</w:t>
      </w:r>
    </w:p>
    <w:p w14:paraId="03A95428" w14:textId="77777777" w:rsidR="00E12369" w:rsidRDefault="00E12369" w:rsidP="00E12369">
      <w:pPr>
        <w:spacing w:line="336" w:lineRule="auto"/>
        <w:ind w:left="567" w:right="567"/>
        <w:rPr>
          <w:rFonts w:cs="Arial"/>
          <w:sz w:val="22"/>
          <w:szCs w:val="22"/>
        </w:rPr>
      </w:pPr>
    </w:p>
    <w:p w14:paraId="120E2AB2" w14:textId="77777777" w:rsidR="00E12369" w:rsidRDefault="00E12369" w:rsidP="00E12369">
      <w:pPr>
        <w:spacing w:line="336" w:lineRule="auto"/>
        <w:ind w:left="567" w:right="567"/>
        <w:rPr>
          <w:rFonts w:cs="Arial"/>
          <w:sz w:val="22"/>
          <w:szCs w:val="22"/>
        </w:rPr>
      </w:pPr>
      <w:r>
        <w:rPr>
          <w:sz w:val="22"/>
          <w:szCs w:val="22"/>
        </w:rPr>
        <w:t>A lo largo de su historia, Renishaw ha realizado un esfuerzo considerable en investigación y desarrollo, con una inversión histórica en I+D e ingeniería entre el 13 y el 18% de las ventas anuales. La mayor parte de la I+D y fabricación de los productos de la empresa se realiza en el Reino Unido.</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sz w:val="22"/>
          <w:szCs w:val="22"/>
        </w:rPr>
        <w:t xml:space="preserve">El éxito de la empresa ha sido reconocido con numerosos galardones, dieciocho de ellos </w:t>
      </w:r>
      <w:proofErr w:type="spellStart"/>
      <w:r>
        <w:rPr>
          <w:sz w:val="22"/>
          <w:szCs w:val="22"/>
        </w:rPr>
        <w:t>Queen’s</w:t>
      </w:r>
      <w:proofErr w:type="spellEnd"/>
      <w:r>
        <w:rPr>
          <w:sz w:val="22"/>
          <w:szCs w:val="22"/>
        </w:rPr>
        <w:t xml:space="preserve"> </w:t>
      </w:r>
      <w:proofErr w:type="spellStart"/>
      <w:r>
        <w:rPr>
          <w:sz w:val="22"/>
          <w:szCs w:val="22"/>
        </w:rPr>
        <w:t>Awards</w:t>
      </w:r>
      <w:proofErr w:type="spellEnd"/>
      <w:r>
        <w:rPr>
          <w:sz w:val="22"/>
          <w:szCs w:val="22"/>
        </w:rPr>
        <w:t xml:space="preserve">, como reconocimiento a sus logros tecnológicos, sus exportaciones y su innovación. </w:t>
      </w:r>
    </w:p>
    <w:p w14:paraId="54DD3EE8" w14:textId="1BB041DB" w:rsidR="004008E8" w:rsidRDefault="004008E8" w:rsidP="00625ED6">
      <w:pPr>
        <w:spacing w:line="336" w:lineRule="auto"/>
        <w:ind w:right="567"/>
        <w:rPr>
          <w:rFonts w:cs="Arial"/>
          <w:sz w:val="22"/>
          <w:szCs w:val="22"/>
        </w:rPr>
      </w:pPr>
    </w:p>
    <w:p w14:paraId="46C332A8" w14:textId="0D4EE5BF" w:rsidR="004008E8" w:rsidRDefault="004008E8" w:rsidP="004008E8">
      <w:pPr>
        <w:spacing w:line="336" w:lineRule="auto"/>
        <w:ind w:left="567" w:right="567"/>
        <w:rPr>
          <w:rFonts w:cs="Arial"/>
          <w:sz w:val="22"/>
          <w:szCs w:val="22"/>
        </w:rPr>
      </w:pPr>
      <w:r>
        <w:rPr>
          <w:sz w:val="22"/>
          <w:szCs w:val="22"/>
        </w:rPr>
        <w:t xml:space="preserve">Para más información, visite </w:t>
      </w:r>
      <w:hyperlink r:id="rId10" w:history="1">
        <w:r>
          <w:rPr>
            <w:rStyle w:val="Hyperlink"/>
            <w:sz w:val="22"/>
            <w:szCs w:val="22"/>
          </w:rPr>
          <w:t>www.renishaw.es</w:t>
        </w:r>
      </w:hyperlink>
      <w:r>
        <w:rPr>
          <w:sz w:val="22"/>
          <w:szCs w:val="22"/>
        </w:rPr>
        <w:t xml:space="preserve"> </w:t>
      </w:r>
    </w:p>
    <w:p w14:paraId="26D08224" w14:textId="3F4A87A3" w:rsidR="001F76F0" w:rsidRDefault="001F76F0" w:rsidP="004008E8">
      <w:pPr>
        <w:spacing w:line="336" w:lineRule="auto"/>
        <w:ind w:left="567" w:right="567"/>
        <w:rPr>
          <w:rFonts w:cs="Arial"/>
          <w:sz w:val="22"/>
          <w:szCs w:val="22"/>
        </w:rPr>
      </w:pPr>
    </w:p>
    <w:p w14:paraId="206145A2" w14:textId="5C255E74" w:rsidR="001F76F0" w:rsidRPr="00341D41" w:rsidRDefault="001F76F0" w:rsidP="00341D41">
      <w:pPr>
        <w:ind w:left="567"/>
        <w:rPr>
          <w:rFonts w:ascii="Calibri" w:hAnsi="Calibri"/>
          <w:sz w:val="22"/>
          <w:szCs w:val="22"/>
        </w:rPr>
      </w:pPr>
      <w:proofErr w:type="spellStart"/>
      <w:r>
        <w:rPr>
          <w:sz w:val="22"/>
          <w:szCs w:val="22"/>
        </w:rPr>
        <w:t>Irish</w:t>
      </w:r>
      <w:proofErr w:type="spellEnd"/>
      <w:r>
        <w:rPr>
          <w:sz w:val="22"/>
          <w:szCs w:val="22"/>
        </w:rPr>
        <w:t xml:space="preserve"> </w:t>
      </w:r>
      <w:proofErr w:type="spellStart"/>
      <w:r>
        <w:rPr>
          <w:sz w:val="22"/>
          <w:szCs w:val="22"/>
        </w:rPr>
        <w:t>Manufacturing</w:t>
      </w:r>
      <w:proofErr w:type="spellEnd"/>
      <w:r>
        <w:rPr>
          <w:sz w:val="22"/>
          <w:szCs w:val="22"/>
        </w:rPr>
        <w:t xml:space="preserve"> </w:t>
      </w:r>
      <w:proofErr w:type="spellStart"/>
      <w:r>
        <w:rPr>
          <w:sz w:val="22"/>
          <w:szCs w:val="22"/>
        </w:rPr>
        <w:t>Research</w:t>
      </w:r>
      <w:proofErr w:type="spellEnd"/>
      <w:r>
        <w:rPr>
          <w:sz w:val="22"/>
          <w:szCs w:val="22"/>
        </w:rPr>
        <w:t xml:space="preserve"> (IMR) es una organización líder en investigación y tecnología, con laboratorios y líneas piloto industriales en Dublín y Mullingar, Irlanda.  IMR trabaja con marcas locales e internacionales para </w:t>
      </w:r>
      <w:r>
        <w:rPr>
          <w:b/>
          <w:bCs/>
          <w:i/>
          <w:iCs/>
          <w:sz w:val="22"/>
          <w:szCs w:val="22"/>
        </w:rPr>
        <w:t>desmitificar</w:t>
      </w:r>
      <w:r>
        <w:rPr>
          <w:sz w:val="22"/>
          <w:szCs w:val="22"/>
        </w:rPr>
        <w:t xml:space="preserve"> y </w:t>
      </w:r>
      <w:r>
        <w:rPr>
          <w:b/>
          <w:bCs/>
          <w:i/>
          <w:iCs/>
          <w:sz w:val="22"/>
          <w:szCs w:val="22"/>
        </w:rPr>
        <w:t>desmentir los riesgos</w:t>
      </w:r>
      <w:r>
        <w:rPr>
          <w:sz w:val="22"/>
          <w:szCs w:val="22"/>
        </w:rPr>
        <w:t xml:space="preserve"> sobre las tecnologías nuevas y emergentes para </w:t>
      </w:r>
      <w:r>
        <w:rPr>
          <w:b/>
          <w:bCs/>
          <w:i/>
          <w:iCs/>
          <w:sz w:val="22"/>
          <w:szCs w:val="22"/>
        </w:rPr>
        <w:t>potenciar</w:t>
      </w:r>
      <w:r>
        <w:rPr>
          <w:sz w:val="22"/>
          <w:szCs w:val="22"/>
        </w:rPr>
        <w:t xml:space="preserve"> la investigación colaborativa que facilite el liderazgo internacional en fabricación avanzada.</w:t>
      </w:r>
    </w:p>
    <w:p w14:paraId="4EB926D3" w14:textId="77777777" w:rsidR="001F76F0" w:rsidRPr="006425E1" w:rsidRDefault="001F76F0" w:rsidP="001F76F0">
      <w:pPr>
        <w:rPr>
          <w:sz w:val="22"/>
          <w:szCs w:val="22"/>
          <w:lang w:eastAsia="en-US"/>
        </w:rPr>
      </w:pPr>
    </w:p>
    <w:p w14:paraId="301357BA" w14:textId="77777777" w:rsidR="001F76F0" w:rsidRPr="00341D41" w:rsidRDefault="001F76F0" w:rsidP="00341D41">
      <w:pPr>
        <w:ind w:left="567"/>
        <w:rPr>
          <w:sz w:val="22"/>
          <w:szCs w:val="22"/>
        </w:rPr>
      </w:pPr>
      <w:r>
        <w:rPr>
          <w:sz w:val="22"/>
          <w:szCs w:val="22"/>
        </w:rPr>
        <w:t>IMR cuenta con más de 50 investigadores con centenares de años de experiencia industrial combinada, trabajando en áreas como la impresión 3D, análisis de datos, gestión de conocimiento, eficiencia energética, robótica avanzada e Internet industrial de las cosas.  Las actividades de IMR incluyen colaboración en investigación de proyectos nacionales y europeos, servicios de prototipado, formación y redes industriales.</w:t>
      </w:r>
    </w:p>
    <w:p w14:paraId="294251C2" w14:textId="77777777" w:rsidR="001F76F0" w:rsidRPr="00341D41" w:rsidRDefault="001F76F0" w:rsidP="004008E8">
      <w:pPr>
        <w:spacing w:line="336" w:lineRule="auto"/>
        <w:ind w:left="567" w:right="567"/>
        <w:rPr>
          <w:rFonts w:cs="Arial"/>
          <w:sz w:val="22"/>
          <w:szCs w:val="22"/>
        </w:rPr>
      </w:pPr>
    </w:p>
    <w:p w14:paraId="497B31D8" w14:textId="0D222029" w:rsidR="004008E8" w:rsidRPr="00341D41" w:rsidRDefault="001F76F0" w:rsidP="003E4D19">
      <w:pPr>
        <w:spacing w:after="120" w:line="360" w:lineRule="auto"/>
        <w:ind w:right="567" w:firstLine="567"/>
        <w:jc w:val="both"/>
        <w:rPr>
          <w:rFonts w:cs="Arial"/>
          <w:sz w:val="22"/>
          <w:szCs w:val="22"/>
          <w:u w:val="single"/>
        </w:rPr>
      </w:pPr>
      <w:r>
        <w:rPr>
          <w:sz w:val="22"/>
          <w:szCs w:val="22"/>
        </w:rPr>
        <w:t xml:space="preserve">Para más información, visite </w:t>
      </w:r>
      <w:hyperlink r:id="rId11" w:history="1">
        <w:r>
          <w:rPr>
            <w:rStyle w:val="Hyperlink"/>
            <w:sz w:val="22"/>
            <w:szCs w:val="22"/>
          </w:rPr>
          <w:t>www.imr.ie</w:t>
        </w:r>
      </w:hyperlink>
    </w:p>
    <w:p w14:paraId="16340B01" w14:textId="7883DE5B" w:rsidR="00964BEB" w:rsidRPr="00341D41" w:rsidRDefault="00964BEB" w:rsidP="004406D0">
      <w:pPr>
        <w:spacing w:afterLines="120" w:after="288" w:line="264" w:lineRule="auto"/>
        <w:ind w:left="567" w:right="720"/>
        <w:jc w:val="center"/>
        <w:rPr>
          <w:rFonts w:cs="Arial"/>
          <w:sz w:val="22"/>
          <w:szCs w:val="22"/>
        </w:rPr>
      </w:pPr>
    </w:p>
    <w:p w14:paraId="7FD1EFF5" w14:textId="19661DF7" w:rsidR="00E47B02" w:rsidRPr="00341D41" w:rsidRDefault="001F76F0" w:rsidP="001F76F0">
      <w:pPr>
        <w:ind w:left="567"/>
        <w:rPr>
          <w:sz w:val="22"/>
          <w:szCs w:val="22"/>
        </w:rPr>
      </w:pPr>
      <w:proofErr w:type="spellStart"/>
      <w:r>
        <w:rPr>
          <w:sz w:val="22"/>
          <w:szCs w:val="22"/>
        </w:rPr>
        <w:t>nTopology</w:t>
      </w:r>
      <w:proofErr w:type="spellEnd"/>
      <w:r>
        <w:rPr>
          <w:sz w:val="22"/>
          <w:szCs w:val="22"/>
        </w:rPr>
        <w:t xml:space="preserve"> es una empresa de software dedicada a la creación de soluciones de ingeniería y diseño para apoyar iniciativas de automatización y fabricación avanzada. En un entorno controlado por los datos y la física, equipado con la última tecnología de modelado 3D, se eliminan las restricciones creativas, por tanto, los ingenieros pueden aprovechar las ventajas de las técnicas de fabricación avanzada, como la fabricación aditiva. </w:t>
      </w:r>
    </w:p>
    <w:p w14:paraId="0947F18D" w14:textId="77777777" w:rsidR="00E47B02" w:rsidRPr="00341D41" w:rsidRDefault="00E47B02" w:rsidP="001F76F0">
      <w:pPr>
        <w:ind w:left="567"/>
        <w:rPr>
          <w:sz w:val="22"/>
          <w:szCs w:val="22"/>
        </w:rPr>
      </w:pPr>
    </w:p>
    <w:p w14:paraId="433EC748" w14:textId="33EF9585" w:rsidR="001F76F0" w:rsidRPr="00341D41" w:rsidRDefault="001F76F0" w:rsidP="00341D41">
      <w:pPr>
        <w:ind w:left="567"/>
        <w:rPr>
          <w:rFonts w:ascii="Calibri" w:hAnsi="Calibri"/>
          <w:sz w:val="22"/>
          <w:szCs w:val="22"/>
        </w:rPr>
      </w:pPr>
      <w:r>
        <w:rPr>
          <w:sz w:val="22"/>
          <w:szCs w:val="22"/>
        </w:rPr>
        <w:lastRenderedPageBreak/>
        <w:t xml:space="preserve">El objetivo de los productos de </w:t>
      </w:r>
      <w:proofErr w:type="spellStart"/>
      <w:r>
        <w:rPr>
          <w:sz w:val="22"/>
          <w:szCs w:val="22"/>
        </w:rPr>
        <w:t>nTopology</w:t>
      </w:r>
      <w:proofErr w:type="spellEnd"/>
      <w:r>
        <w:rPr>
          <w:sz w:val="22"/>
          <w:szCs w:val="22"/>
        </w:rPr>
        <w:t xml:space="preserve"> es ayudar a los ingenieros a definir, representar y completar mejor los procesos de ingeniería, digitalmente. Cuando los ingenieros disponen de herramientas robustas que integran eficazmente los datos importantes, pueden capturar adecuadamente toda la información para reutilizarla en futuros productos.</w:t>
      </w:r>
    </w:p>
    <w:p w14:paraId="75F63973" w14:textId="15894348" w:rsidR="001F76F0" w:rsidRPr="00341D41" w:rsidRDefault="001F76F0" w:rsidP="004406D0">
      <w:pPr>
        <w:spacing w:afterLines="120" w:after="288" w:line="264" w:lineRule="auto"/>
        <w:ind w:left="567" w:right="720"/>
        <w:jc w:val="center"/>
        <w:rPr>
          <w:rFonts w:cs="Arial"/>
          <w:sz w:val="22"/>
          <w:szCs w:val="22"/>
        </w:rPr>
      </w:pPr>
    </w:p>
    <w:p w14:paraId="2E8E98F6" w14:textId="0DAF3FB2" w:rsidR="001F76F0" w:rsidRPr="00341D41" w:rsidRDefault="001F76F0" w:rsidP="001F76F0">
      <w:pPr>
        <w:spacing w:after="120" w:line="360" w:lineRule="auto"/>
        <w:ind w:right="567" w:firstLine="567"/>
        <w:jc w:val="both"/>
        <w:rPr>
          <w:rFonts w:cs="Arial"/>
          <w:sz w:val="22"/>
          <w:szCs w:val="22"/>
          <w:u w:val="single"/>
        </w:rPr>
      </w:pPr>
      <w:r>
        <w:rPr>
          <w:sz w:val="22"/>
          <w:szCs w:val="22"/>
        </w:rPr>
        <w:t xml:space="preserve">Para más información, visite </w:t>
      </w:r>
      <w:hyperlink r:id="rId12" w:history="1">
        <w:r>
          <w:rPr>
            <w:rStyle w:val="Hyperlink"/>
            <w:sz w:val="22"/>
            <w:szCs w:val="22"/>
          </w:rPr>
          <w:t>www.ntopology.com</w:t>
        </w:r>
      </w:hyperlink>
    </w:p>
    <w:p w14:paraId="4DE6E93D" w14:textId="77777777" w:rsidR="001F76F0" w:rsidRDefault="001F76F0" w:rsidP="004406D0">
      <w:pPr>
        <w:spacing w:afterLines="120" w:after="288" w:line="264" w:lineRule="auto"/>
        <w:ind w:left="567" w:right="720"/>
        <w:jc w:val="center"/>
        <w:rPr>
          <w:rFonts w:cs="Arial"/>
        </w:rPr>
      </w:pPr>
    </w:p>
    <w:sectPr w:rsidR="001F76F0"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193FA" w14:textId="77777777" w:rsidR="0099258C" w:rsidRDefault="0099258C">
      <w:r>
        <w:separator/>
      </w:r>
    </w:p>
  </w:endnote>
  <w:endnote w:type="continuationSeparator" w:id="0">
    <w:p w14:paraId="41B7526A" w14:textId="77777777" w:rsidR="0099258C" w:rsidRDefault="0099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35E8" w14:textId="77777777" w:rsidR="0099258C" w:rsidRDefault="0099258C">
      <w:r>
        <w:separator/>
      </w:r>
    </w:p>
  </w:footnote>
  <w:footnote w:type="continuationSeparator" w:id="0">
    <w:p w14:paraId="38B509EA" w14:textId="77777777" w:rsidR="0099258C" w:rsidRDefault="0099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IE"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2NzUyNbK0sLQ0NTBS0lEKTi0uzszPAykwrAUAhVMnPCwAAAA="/>
  </w:docVars>
  <w:rsids>
    <w:rsidRoot w:val="00396A6B"/>
    <w:rsid w:val="00010F0B"/>
    <w:rsid w:val="0001244E"/>
    <w:rsid w:val="0001369B"/>
    <w:rsid w:val="0001598D"/>
    <w:rsid w:val="00017085"/>
    <w:rsid w:val="00020AE8"/>
    <w:rsid w:val="0003147E"/>
    <w:rsid w:val="00031DA6"/>
    <w:rsid w:val="00041006"/>
    <w:rsid w:val="00042FD0"/>
    <w:rsid w:val="00044586"/>
    <w:rsid w:val="00045A43"/>
    <w:rsid w:val="00046BCA"/>
    <w:rsid w:val="00054174"/>
    <w:rsid w:val="0006236C"/>
    <w:rsid w:val="00064966"/>
    <w:rsid w:val="00065084"/>
    <w:rsid w:val="00072BB5"/>
    <w:rsid w:val="00077687"/>
    <w:rsid w:val="0008028C"/>
    <w:rsid w:val="000812FB"/>
    <w:rsid w:val="000817DF"/>
    <w:rsid w:val="0008473C"/>
    <w:rsid w:val="00090CEB"/>
    <w:rsid w:val="000925F8"/>
    <w:rsid w:val="000A5C5A"/>
    <w:rsid w:val="000C7E4B"/>
    <w:rsid w:val="000D5D2D"/>
    <w:rsid w:val="000E4A52"/>
    <w:rsid w:val="000E4BEC"/>
    <w:rsid w:val="000F2F02"/>
    <w:rsid w:val="000F3C6E"/>
    <w:rsid w:val="00103FCF"/>
    <w:rsid w:val="00105E62"/>
    <w:rsid w:val="00107382"/>
    <w:rsid w:val="001136B9"/>
    <w:rsid w:val="00113E41"/>
    <w:rsid w:val="00115284"/>
    <w:rsid w:val="00131014"/>
    <w:rsid w:val="0013369D"/>
    <w:rsid w:val="001348D3"/>
    <w:rsid w:val="00137ACC"/>
    <w:rsid w:val="00137C15"/>
    <w:rsid w:val="00140198"/>
    <w:rsid w:val="001418AB"/>
    <w:rsid w:val="00142F48"/>
    <w:rsid w:val="00143657"/>
    <w:rsid w:val="001438E2"/>
    <w:rsid w:val="00157908"/>
    <w:rsid w:val="00160236"/>
    <w:rsid w:val="00162068"/>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C64C3"/>
    <w:rsid w:val="001D1DE8"/>
    <w:rsid w:val="001D1E3B"/>
    <w:rsid w:val="001D501B"/>
    <w:rsid w:val="001D53E9"/>
    <w:rsid w:val="001D588D"/>
    <w:rsid w:val="001D5D80"/>
    <w:rsid w:val="001D7D99"/>
    <w:rsid w:val="001E0275"/>
    <w:rsid w:val="001E1B0B"/>
    <w:rsid w:val="001F3406"/>
    <w:rsid w:val="001F76F0"/>
    <w:rsid w:val="00204403"/>
    <w:rsid w:val="00210253"/>
    <w:rsid w:val="00214F17"/>
    <w:rsid w:val="00217242"/>
    <w:rsid w:val="00230E75"/>
    <w:rsid w:val="00231E56"/>
    <w:rsid w:val="002321EF"/>
    <w:rsid w:val="002327A3"/>
    <w:rsid w:val="002369E9"/>
    <w:rsid w:val="00237745"/>
    <w:rsid w:val="0025263C"/>
    <w:rsid w:val="0025714C"/>
    <w:rsid w:val="00257222"/>
    <w:rsid w:val="0026004F"/>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1FA6"/>
    <w:rsid w:val="0031482B"/>
    <w:rsid w:val="0032104F"/>
    <w:rsid w:val="00321CF7"/>
    <w:rsid w:val="00331B4E"/>
    <w:rsid w:val="00332F87"/>
    <w:rsid w:val="00341D41"/>
    <w:rsid w:val="003464B0"/>
    <w:rsid w:val="00351A01"/>
    <w:rsid w:val="0035671A"/>
    <w:rsid w:val="00361E20"/>
    <w:rsid w:val="00372428"/>
    <w:rsid w:val="0037316D"/>
    <w:rsid w:val="00373EED"/>
    <w:rsid w:val="00381056"/>
    <w:rsid w:val="003918EE"/>
    <w:rsid w:val="00394B7C"/>
    <w:rsid w:val="00396A6B"/>
    <w:rsid w:val="003972AD"/>
    <w:rsid w:val="003A33AE"/>
    <w:rsid w:val="003A3453"/>
    <w:rsid w:val="003A490F"/>
    <w:rsid w:val="003A6CD9"/>
    <w:rsid w:val="003B0DE2"/>
    <w:rsid w:val="003B1089"/>
    <w:rsid w:val="003B7E7B"/>
    <w:rsid w:val="003D0476"/>
    <w:rsid w:val="003E4D19"/>
    <w:rsid w:val="003E68BF"/>
    <w:rsid w:val="003E6F1F"/>
    <w:rsid w:val="003F06B0"/>
    <w:rsid w:val="003F283C"/>
    <w:rsid w:val="003F4039"/>
    <w:rsid w:val="003F7040"/>
    <w:rsid w:val="003F77FD"/>
    <w:rsid w:val="004008E8"/>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4195"/>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D7B2B"/>
    <w:rsid w:val="004E04E1"/>
    <w:rsid w:val="004E1449"/>
    <w:rsid w:val="004E352E"/>
    <w:rsid w:val="004F0F6C"/>
    <w:rsid w:val="004F13C3"/>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677F1"/>
    <w:rsid w:val="0057165D"/>
    <w:rsid w:val="00571AFA"/>
    <w:rsid w:val="005755E0"/>
    <w:rsid w:val="00576538"/>
    <w:rsid w:val="00582C59"/>
    <w:rsid w:val="00586A54"/>
    <w:rsid w:val="00590F6B"/>
    <w:rsid w:val="00592329"/>
    <w:rsid w:val="005961D5"/>
    <w:rsid w:val="005A67D6"/>
    <w:rsid w:val="005B38DE"/>
    <w:rsid w:val="005B4143"/>
    <w:rsid w:val="005B46B9"/>
    <w:rsid w:val="005B52E4"/>
    <w:rsid w:val="005B7A31"/>
    <w:rsid w:val="005C1B6D"/>
    <w:rsid w:val="005D3160"/>
    <w:rsid w:val="005D7DC3"/>
    <w:rsid w:val="005E75DA"/>
    <w:rsid w:val="005F13FB"/>
    <w:rsid w:val="005F2BE8"/>
    <w:rsid w:val="005F7665"/>
    <w:rsid w:val="00600058"/>
    <w:rsid w:val="00603626"/>
    <w:rsid w:val="00604764"/>
    <w:rsid w:val="00607513"/>
    <w:rsid w:val="00610B0B"/>
    <w:rsid w:val="00614846"/>
    <w:rsid w:val="00623892"/>
    <w:rsid w:val="00625ED6"/>
    <w:rsid w:val="006300A1"/>
    <w:rsid w:val="006425E1"/>
    <w:rsid w:val="0064276D"/>
    <w:rsid w:val="0064303B"/>
    <w:rsid w:val="00644DEE"/>
    <w:rsid w:val="00647115"/>
    <w:rsid w:val="00647B55"/>
    <w:rsid w:val="00651493"/>
    <w:rsid w:val="00652DF3"/>
    <w:rsid w:val="00661238"/>
    <w:rsid w:val="00667CDD"/>
    <w:rsid w:val="00673BE0"/>
    <w:rsid w:val="00673ED4"/>
    <w:rsid w:val="00680199"/>
    <w:rsid w:val="00680AD0"/>
    <w:rsid w:val="00684224"/>
    <w:rsid w:val="006B635F"/>
    <w:rsid w:val="006C119C"/>
    <w:rsid w:val="006C1271"/>
    <w:rsid w:val="006C5195"/>
    <w:rsid w:val="006C641D"/>
    <w:rsid w:val="006C7956"/>
    <w:rsid w:val="006D1480"/>
    <w:rsid w:val="006D67B3"/>
    <w:rsid w:val="006F05E4"/>
    <w:rsid w:val="006F3019"/>
    <w:rsid w:val="006F3A08"/>
    <w:rsid w:val="00700ACA"/>
    <w:rsid w:val="007017E7"/>
    <w:rsid w:val="00705E9C"/>
    <w:rsid w:val="00711275"/>
    <w:rsid w:val="00714FD8"/>
    <w:rsid w:val="00717F83"/>
    <w:rsid w:val="00721ED0"/>
    <w:rsid w:val="00723B84"/>
    <w:rsid w:val="0072545A"/>
    <w:rsid w:val="00730791"/>
    <w:rsid w:val="00730C33"/>
    <w:rsid w:val="007336EF"/>
    <w:rsid w:val="00745A8D"/>
    <w:rsid w:val="00756CC0"/>
    <w:rsid w:val="00761FFE"/>
    <w:rsid w:val="0076307C"/>
    <w:rsid w:val="0076545D"/>
    <w:rsid w:val="00773F26"/>
    <w:rsid w:val="007752F0"/>
    <w:rsid w:val="00785B66"/>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033"/>
    <w:rsid w:val="007F31C0"/>
    <w:rsid w:val="007F420F"/>
    <w:rsid w:val="007F7FA1"/>
    <w:rsid w:val="008158F0"/>
    <w:rsid w:val="00820CE0"/>
    <w:rsid w:val="00821280"/>
    <w:rsid w:val="008240AB"/>
    <w:rsid w:val="00824AD6"/>
    <w:rsid w:val="0082633B"/>
    <w:rsid w:val="00827176"/>
    <w:rsid w:val="008424AB"/>
    <w:rsid w:val="00853910"/>
    <w:rsid w:val="00854F93"/>
    <w:rsid w:val="0085665B"/>
    <w:rsid w:val="00856765"/>
    <w:rsid w:val="00856A3A"/>
    <w:rsid w:val="008602B7"/>
    <w:rsid w:val="00861D47"/>
    <w:rsid w:val="008650BA"/>
    <w:rsid w:val="008679CA"/>
    <w:rsid w:val="00870623"/>
    <w:rsid w:val="00871BB9"/>
    <w:rsid w:val="008746BD"/>
    <w:rsid w:val="00874B77"/>
    <w:rsid w:val="00876753"/>
    <w:rsid w:val="00882018"/>
    <w:rsid w:val="00885B85"/>
    <w:rsid w:val="00886DD7"/>
    <w:rsid w:val="008A1571"/>
    <w:rsid w:val="008C12A7"/>
    <w:rsid w:val="008C32BE"/>
    <w:rsid w:val="008C4B08"/>
    <w:rsid w:val="008D0B7B"/>
    <w:rsid w:val="008E0702"/>
    <w:rsid w:val="008E4CD8"/>
    <w:rsid w:val="008F3257"/>
    <w:rsid w:val="009170DF"/>
    <w:rsid w:val="00930639"/>
    <w:rsid w:val="00942F01"/>
    <w:rsid w:val="009434C8"/>
    <w:rsid w:val="00947E6C"/>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C06DF"/>
    <w:rsid w:val="009C3BF0"/>
    <w:rsid w:val="009D01E6"/>
    <w:rsid w:val="009D1C85"/>
    <w:rsid w:val="009D4A0E"/>
    <w:rsid w:val="009F0626"/>
    <w:rsid w:val="009F0CBE"/>
    <w:rsid w:val="00A04CF0"/>
    <w:rsid w:val="00A056A6"/>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76266"/>
    <w:rsid w:val="00A958F8"/>
    <w:rsid w:val="00AA056E"/>
    <w:rsid w:val="00AA0955"/>
    <w:rsid w:val="00AA154C"/>
    <w:rsid w:val="00AA44A2"/>
    <w:rsid w:val="00AA4A7E"/>
    <w:rsid w:val="00AA58D5"/>
    <w:rsid w:val="00AB01FC"/>
    <w:rsid w:val="00AB7085"/>
    <w:rsid w:val="00AC302B"/>
    <w:rsid w:val="00AC40F3"/>
    <w:rsid w:val="00AC64DA"/>
    <w:rsid w:val="00AD1402"/>
    <w:rsid w:val="00AD1CDE"/>
    <w:rsid w:val="00AF50A1"/>
    <w:rsid w:val="00AF6523"/>
    <w:rsid w:val="00B12751"/>
    <w:rsid w:val="00B16F19"/>
    <w:rsid w:val="00B207EB"/>
    <w:rsid w:val="00B26D5F"/>
    <w:rsid w:val="00B32116"/>
    <w:rsid w:val="00B51C94"/>
    <w:rsid w:val="00B53F05"/>
    <w:rsid w:val="00B54A61"/>
    <w:rsid w:val="00B54FDD"/>
    <w:rsid w:val="00B60D27"/>
    <w:rsid w:val="00B62F8E"/>
    <w:rsid w:val="00B71181"/>
    <w:rsid w:val="00B72246"/>
    <w:rsid w:val="00B81A5F"/>
    <w:rsid w:val="00B8453E"/>
    <w:rsid w:val="00B950BC"/>
    <w:rsid w:val="00BA0542"/>
    <w:rsid w:val="00BB7055"/>
    <w:rsid w:val="00BC1C0D"/>
    <w:rsid w:val="00BC6731"/>
    <w:rsid w:val="00BD2374"/>
    <w:rsid w:val="00BE407B"/>
    <w:rsid w:val="00C03FE8"/>
    <w:rsid w:val="00C07D6B"/>
    <w:rsid w:val="00C1022F"/>
    <w:rsid w:val="00C22DEE"/>
    <w:rsid w:val="00C304F0"/>
    <w:rsid w:val="00C31F84"/>
    <w:rsid w:val="00C35384"/>
    <w:rsid w:val="00C35DCE"/>
    <w:rsid w:val="00C42DD9"/>
    <w:rsid w:val="00C46470"/>
    <w:rsid w:val="00C46694"/>
    <w:rsid w:val="00C56F33"/>
    <w:rsid w:val="00C61950"/>
    <w:rsid w:val="00C6347A"/>
    <w:rsid w:val="00C64EE1"/>
    <w:rsid w:val="00C65864"/>
    <w:rsid w:val="00C66A49"/>
    <w:rsid w:val="00C74BC2"/>
    <w:rsid w:val="00C820AE"/>
    <w:rsid w:val="00C82AC7"/>
    <w:rsid w:val="00C86F20"/>
    <w:rsid w:val="00CA1E17"/>
    <w:rsid w:val="00CA70A8"/>
    <w:rsid w:val="00CB4770"/>
    <w:rsid w:val="00CB59A5"/>
    <w:rsid w:val="00CC271D"/>
    <w:rsid w:val="00CD694D"/>
    <w:rsid w:val="00CE11C0"/>
    <w:rsid w:val="00D011D0"/>
    <w:rsid w:val="00D022DA"/>
    <w:rsid w:val="00D03677"/>
    <w:rsid w:val="00D13BDD"/>
    <w:rsid w:val="00D157EE"/>
    <w:rsid w:val="00D2467C"/>
    <w:rsid w:val="00D2615B"/>
    <w:rsid w:val="00D27367"/>
    <w:rsid w:val="00D33317"/>
    <w:rsid w:val="00D45285"/>
    <w:rsid w:val="00D461AC"/>
    <w:rsid w:val="00D514E4"/>
    <w:rsid w:val="00D54969"/>
    <w:rsid w:val="00D70F17"/>
    <w:rsid w:val="00D7140B"/>
    <w:rsid w:val="00D73761"/>
    <w:rsid w:val="00D83E9B"/>
    <w:rsid w:val="00D85909"/>
    <w:rsid w:val="00D94532"/>
    <w:rsid w:val="00D96337"/>
    <w:rsid w:val="00D969BE"/>
    <w:rsid w:val="00DA30B2"/>
    <w:rsid w:val="00DA36CB"/>
    <w:rsid w:val="00DC10D3"/>
    <w:rsid w:val="00DD1BD7"/>
    <w:rsid w:val="00DD2CFD"/>
    <w:rsid w:val="00DE7066"/>
    <w:rsid w:val="00DF1EAD"/>
    <w:rsid w:val="00DF444A"/>
    <w:rsid w:val="00E021C1"/>
    <w:rsid w:val="00E03F58"/>
    <w:rsid w:val="00E12369"/>
    <w:rsid w:val="00E25AA8"/>
    <w:rsid w:val="00E360F4"/>
    <w:rsid w:val="00E4665C"/>
    <w:rsid w:val="00E47B02"/>
    <w:rsid w:val="00E50A59"/>
    <w:rsid w:val="00E5503C"/>
    <w:rsid w:val="00E630E4"/>
    <w:rsid w:val="00E70C9E"/>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722"/>
    <w:rsid w:val="00F379FC"/>
    <w:rsid w:val="00F4061E"/>
    <w:rsid w:val="00F43446"/>
    <w:rsid w:val="00F50C2F"/>
    <w:rsid w:val="00F549C4"/>
    <w:rsid w:val="00F63F27"/>
    <w:rsid w:val="00F67B67"/>
    <w:rsid w:val="00F76AFD"/>
    <w:rsid w:val="00F848C9"/>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s-E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style>
  <w:style w:type="paragraph" w:styleId="BodyText">
    <w:name w:val="Body Text"/>
    <w:basedOn w:val="Normal"/>
    <w:rsid w:val="002A62A1"/>
    <w:pPr>
      <w:tabs>
        <w:tab w:val="left" w:pos="-2160"/>
      </w:tabs>
      <w:spacing w:line="280" w:lineRule="exact"/>
    </w:p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0812FB"/>
    <w:rPr>
      <w:color w:val="605E5C"/>
      <w:shd w:val="clear" w:color="auto" w:fill="E1DFDD"/>
    </w:rPr>
  </w:style>
  <w:style w:type="character" w:styleId="FollowedHyperlink">
    <w:name w:val="FollowedHyperlink"/>
    <w:basedOn w:val="DefaultParagraphFont"/>
    <w:semiHidden/>
    <w:unhideWhenUsed/>
    <w:rsid w:val="006425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099585">
      <w:bodyDiv w:val="1"/>
      <w:marLeft w:val="0"/>
      <w:marRight w:val="0"/>
      <w:marTop w:val="0"/>
      <w:marBottom w:val="0"/>
      <w:divBdr>
        <w:top w:val="none" w:sz="0" w:space="0" w:color="auto"/>
        <w:left w:val="none" w:sz="0" w:space="0" w:color="auto"/>
        <w:bottom w:val="none" w:sz="0" w:space="0" w:color="auto"/>
        <w:right w:val="none" w:sz="0" w:space="0" w:color="auto"/>
      </w:divBdr>
    </w:div>
    <w:div w:id="1536036725">
      <w:bodyDiv w:val="1"/>
      <w:marLeft w:val="0"/>
      <w:marRight w:val="0"/>
      <w:marTop w:val="0"/>
      <w:marBottom w:val="0"/>
      <w:divBdr>
        <w:top w:val="none" w:sz="0" w:space="0" w:color="auto"/>
        <w:left w:val="none" w:sz="0" w:space="0" w:color="auto"/>
        <w:bottom w:val="none" w:sz="0" w:space="0" w:color="auto"/>
        <w:right w:val="none" w:sz="0" w:space="0" w:color="auto"/>
      </w:divBdr>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68135180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nishaw.es/es/renishaw-enhancing-efficiency-in-manufacturing-and-healthcare--1030?utm_source=Stone+Junction&amp;utm_medium=Hard+news&amp;utm_campaign=REM13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renishaw.com\global\GB\PLC\DPD\Data\Marketing\incise_marketing\Case%20studies%20+%20news%20articles\IMR%20&amp;%20nTopology%20spinal%20implant\www.ntopolog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renishaw.com\global\GB\PLC\DPD\Data\Marketing\incise_marketing\Case%20studies%20+%20news%20articles\IMR%20&amp;%20nTopology%20spinal%20implant\www.imr.ie" TargetMode="External"/><Relationship Id="rId5" Type="http://schemas.openxmlformats.org/officeDocument/2006/relationships/footnotes" Target="footnotes.xml"/><Relationship Id="rId10" Type="http://schemas.openxmlformats.org/officeDocument/2006/relationships/hyperlink" Target="http://www.renishaw.es" TargetMode="External"/><Relationship Id="rId4" Type="http://schemas.openxmlformats.org/officeDocument/2006/relationships/webSettings" Target="webSettings.xml"/><Relationship Id="rId9" Type="http://schemas.openxmlformats.org/officeDocument/2006/relationships/hyperlink" Target="https://www.renishaw.es/es/medical-and-healthcare--32082?utm_source=Stone+Junction&amp;utm_medium=Hard+news&amp;utm_campaign=REM13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906</Words>
  <Characters>6033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Jo Green</cp:lastModifiedBy>
  <cp:revision>7</cp:revision>
  <cp:lastPrinted>2019-02-13T08:51:00Z</cp:lastPrinted>
  <dcterms:created xsi:type="dcterms:W3CDTF">2019-02-13T08:52:00Z</dcterms:created>
  <dcterms:modified xsi:type="dcterms:W3CDTF">2019-03-08T00:18:00Z</dcterms:modified>
</cp:coreProperties>
</file>