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2C7" w:rsidRPr="006F02C7" w:rsidRDefault="006F02C7" w:rsidP="006F02C7">
      <w:pPr>
        <w:spacing w:line="336" w:lineRule="auto"/>
        <w:ind w:right="-554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Obrabiarkowe systemy skanujące zwiększają produktywność i wydajność procesu</w:t>
      </w: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Renishaw, globalna firma z branży technologii metrologicznych, prezentuje najnowsze rozwiązania skanujące do obrabiarek na targach EMO Hanower 2019.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Obrabiarkowy system skanujący to jedno z wielu inteligentnych rozwiązań sterowania procesem przedstawionych przez firmę Renishaw, dzięki którym wytwórcy z wielu gałęzi przemysłu mogą zwiększyć możliwości produkcyjne.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Skrócenie czasu cyklu, zwiększenie produktywności i wyeliminowanie braków to wspólne czynniki dla wytwórców w wielu zastosowaniach przemysłowych.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Choć do sprostania tym wyzwaniom powszechnie używa się pomiarów elektrostykowych, ich zastosowanie może być często ograniczone tam, gdzie minimalizacja czasu cyklu i maksymalizacja gęstości danych są kluczowymi wymaganiami.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Obrabiarkowe systemy skanujące, takie jak sonda OSP60 z technologią SPRINT™, mogą zaradzić tym ograniczeniom, umożliwiając wykonywanie pomiarów tam, gdzie wcześniej było to niepraktyczne.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przeciwieństwie do innych obrabiarkowych systemów skanujących, które wysyłają dane tylko w jednym wymiarze (1D), opatentowana technologia czujników 3D w sondzie OSP60 wysyła 1000 rzeczywistych punktów danych 3D (X, Y, Z) na sekundę, umożliwiając analizę kształtu i wykrywanie jego odchyłek przy niespotykanych dotychczasowo prędkościach posuwu.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Sonda OSP60 — w połączeniu z narzędziami programowymi firmy Renishaw — umożliwia „modelowanie powierzchni rzeczywistej”, które można wykorzystać w wielu różnych zastosowaniach i kolejnych operacjach technologicznych w celu radykalnego usprawnienia procesów produkcyjnych.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Dane o dużej gęstości zebrane przez system skanujący 3D można wykorzystać między innymi do kontroli stanu technicznego na obrabiarce przed rozpoczęciem obróbki, ustawiania przedmiotu obrabianego i pomiaru elementów, monitorowania stanu płaskich powierzchni uszczelniających, pomiarów powierzchni 3D do produkcji przedmiotów o złożonej geometrii, jak np. łopatki, a także do adaptacyjnej obróbki przedmiotów, jak np. odlewy o zmiennym kształcie.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Producenci obrabiarek i użytkownicy końcowi coraz częściej stosują obrabiarkowe systemy skanujące w wielu różnych branżach ze względu na ich rozbudowane możliwości, rozwijając procesy produkcyjne i zyskując przewagę technologiczną.</w:t>
      </w: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</w:p>
    <w:p w:rsidR="006F02C7" w:rsidRPr="005A4521" w:rsidRDefault="006F02C7" w:rsidP="006F02C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Aby dowiedzieć się więcej o zaletach obrabiarkowych systemów skanujących, odwiedź Renishaw na targach EMO Hannover 2019 (16–21 września, hala 6, stoisko D48).</w:t>
      </w:r>
    </w:p>
    <w:p w:rsidR="006F02C7" w:rsidRDefault="006F02C7" w:rsidP="006F02C7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6F02C7" w:rsidRDefault="006F02C7" w:rsidP="006F02C7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-Koniec-</w:t>
      </w:r>
    </w:p>
    <w:sectPr w:rsidR="0006668E" w:rsidRPr="006F02C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02C7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0264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65F54F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2292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2019-07-04T08:22:00Z</dcterms:modified>
</cp:coreProperties>
</file>