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Испытанные на практике возможности контроля технологических процессов с помощью универсальных систем Renishaw Equator™: преимущества для производителей компонентов электрических и гибридных автомобилей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/>
        </w:rPr>
      </w:pPr>
      <w:r>
        <w:rPr>
          <w:rFonts w:ascii="Arial" w:hAnsi="Arial"/>
        </w:rPr>
        <w:t xml:space="preserve">На стенде компании Renishaw на выставке EMO 2019 в Ганновере на нескольких системах Equator будут продемонстрированы измерения различных компонентов двигателей и трансмиссий электрических и гибридных автомобилей.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 те детали, которые измеряют на системах Equator в круглосуточном режиме на предприятиях по всему миру</w:t>
      </w:r>
      <w:r>
        <w:rPr>
          <w:rStyle w:val="bumpedfont15"/>
          <w:rFonts w:ascii="Arial" w:hAnsi="Arial"/>
        </w:rPr>
        <w:t xml:space="preserve"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В течение последних лет компания Renishaw осуществила поставку нескольких тысяч систем Equator своим клиентам, занимающим важные позиции на всех автомобильных рынках Европы, Америки и Азии.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Значительные инвестиции в исследования и рост производства электрических автомобилей привели к появлению новых измерительных задач, и система Equator оказалась востребованной для их решения.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В настоящее время системы Equator применяются для измерения обширного ряда компонентов двигателей и трансмиссий электрических и гибридных автомобилей.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Поддержка работы этих систем обеспечивается опытными инженерами. Для учета требований каждого конкретного технологического процесса используются различные опции оборудования и программного обеспечения.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Демонстрация возможностей контроля деталей электрических автомобилей</w:t>
      </w:r>
    </w:p>
    <w:p w:rsidR="00E403A6" w:rsidRPr="00B670FB" w:rsidRDefault="00E403A6" w:rsidP="00E403A6">
      <w:pPr>
        <w:rPr>
          <w:rStyle w:val="bumpedfont15"/>
          <w:color w:val="000000" w:themeColor="text1"/>
          <w:rFonts w:ascii="Arial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Двигатели, генераторы, зубчатые колеса и корпуса коробки передач – всё это примеры деталей и узлов, при изготовлении которых можно применять Equator, причем непосредственно рядом со станками производственных линий или гибких модулей.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Один из показательных примеров: статоры двигателей. Система Equator, оснащенная сканирующим датчиком SP25 и производительным метрологическим ПО MODUS превосходно подходит для контроля ответственных параметров: размеров, положения и отклонений формы отверстий и концентричность элементов статора в сборе.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На той же системе Equator можно использовать контактный датчик Renishaw TP20 для триггерных измерений со скоростью до трех точек в секунду – он отлично подходит для контроля положения точек на кромке пластин статора.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Управление технологическим процессом напрямую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Программное обеспечение (ПО) для интеллектуального управления технологическим процессом IPC (Intelligent Process Control), разработанное при поддержке многих конечных пользователей Equator из разных отраслей промышленности – это дополнительный инструмент, доступный на всех системах Equator.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Это ПО позволяет вести постоянный контроль и автоматическую корректировку процесса обработки, удерживая размеры деталей близкими к номинальным значениям и в пределах допустимых отклонений.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Такая корректировка отклонений характеристик процесса от заданных позволяет повысить качество изготовления деталей, расширить технологические возможности и снизить объем брака и затрат на обеспечение качества.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b/>
          <w:rFonts w:ascii="Arial" w:eastAsiaTheme="minorHAnsi" w:hAnsi="Arial" w:cs="Arial"/>
        </w:rPr>
      </w:pPr>
      <w:r>
        <w:rPr>
          <w:rStyle w:val="bumpedfont15"/>
          <w:b/>
          <w:rFonts w:ascii="Arial" w:hAnsi="Arial"/>
        </w:rPr>
        <w:t xml:space="preserve">Сравнение автоматизированных ячеек и ручных измерительных станций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Equator можно быстро настроить для тех же измерений, которые вручную выполняются на специальных измерительных станциях.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В последнее время конструкция автомобильных компонентов меняется очень часто. Поэтому возможность быстрого переноса и ввода в эксплуатацию системы Equator на новые линии и автоматизированные ячейки – это важное преимущество по сравнению с шаблонами, изготовленными под определенную деталь. В едь они требуют много времени и финансовых затрат на изменение конструкции, или же становятся просто ненужными.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Возможность интеграции с роботами и конвейерами выгодно отличает Equator в условиях роста запроса на автоматизацию предприятий.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Новая система загрузки деталей EQ-ATS (Equator Automatic Transfer Systems) для систем Equator 300 и Equator 500 позволяет размещать детали перед системой и автоматически перемещать их внутрь рабочего объема машины и обратно.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В жестких производственных условиях рекомендуется помещать системы Equator в дополнительный кожух. Установка системы транспортировки EQ-ATS предусмотрена таким образом, чтобы можно было легко и безопасно загружать детали за пределами рабочего объема машины.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Подробнее о компании Renishaw на выставке EMO 2019 см. на сайте </w:t>
      </w:r>
      <w:hyperlink r:id="rId8" w:history="1">
        <w:r>
          <w:rPr>
            <w:rStyle w:val="Hyperlink"/>
            <w:rFonts w:ascii="Arial" w:hAnsi="Arial"/>
          </w:rPr>
          <w:t xml:space="preserve">www.renishaw.ru/emo2019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-Конец-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D4157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2019-07-08T10:19:00Z</dcterms:modified>
</cp:coreProperties>
</file>