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3D2C" w14:textId="43785C46" w:rsidR="00AC302B" w:rsidRPr="00FE5A25" w:rsidRDefault="00955673">
      <w:pPr>
        <w:pStyle w:val="Heading1"/>
        <w:spacing w:line="280" w:lineRule="exact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2D1833F" wp14:editId="5AA4DA3B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35448C65" w14:textId="605FD23D" w:rsidR="00E623A0" w:rsidRPr="00E623A0" w:rsidRDefault="00E623A0" w:rsidP="00E623A0">
      <w:pPr>
        <w:spacing w:line="288" w:lineRule="auto"/>
        <w:ind w:left="562" w:right="562"/>
        <w:contextualSpacing/>
        <w:jc w:val="both"/>
        <w:rPr>
          <w:rFonts w:cs="Arial"/>
          <w:b/>
          <w:bCs/>
          <w:sz w:val="22"/>
          <w:szCs w:val="22"/>
        </w:rPr>
      </w:pPr>
      <w:bookmarkStart w:id="0" w:name="OLE_LINK1"/>
      <w:bookmarkStart w:id="1" w:name="OLE_LINK2"/>
      <w:r>
        <w:rPr>
          <w:b/>
          <w:bCs/>
          <w:sz w:val="22"/>
          <w:szCs w:val="22"/>
        </w:rPr>
        <w:t>Il sistema di ispezione Equator consente di aumentare del 30% la capacità produttiva</w:t>
      </w:r>
    </w:p>
    <w:p w14:paraId="2D87A37E" w14:textId="77777777" w:rsidR="003F06B0" w:rsidRDefault="003F06B0" w:rsidP="00B0180B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4797E7F9" w14:textId="77777777" w:rsidR="00B0180B" w:rsidRDefault="00B0180B" w:rsidP="00B0180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0D6D485" w14:textId="72E4879B" w:rsidR="00E623A0" w:rsidRPr="00E623A0" w:rsidRDefault="00E623A0" w:rsidP="00E623A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I processi di ispezione manuale non garantivano la produttività necessaria a Olympus NDT per la produzione dei suoi componenti. L’automtizzazione dei processi di ispezione attraverso un calibro da officina programmabile ha consentito a Olympus NDT di ottenere la capacità produttiva richiesta, migliorando la qualità dei pezzi prodotti e riducendo gli scarti.</w:t>
      </w:r>
    </w:p>
    <w:p w14:paraId="29AB1513" w14:textId="5711691E" w:rsidR="00FD11E6" w:rsidRPr="00FD11E6" w:rsidRDefault="00FD11E6" w:rsidP="00B0180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0C223DF" w14:textId="77777777" w:rsidR="00C07D6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Background</w:t>
      </w:r>
    </w:p>
    <w:p w14:paraId="62E71579" w14:textId="77777777" w:rsidR="00B0180B" w:rsidRPr="00B0180B" w:rsidRDefault="00B0180B" w:rsidP="00B0180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A792A86" w14:textId="77777777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Olympus NDT è un leader mondiale nella produzione di strumenti per prove non distruttive (Non-Destructive Testing - NDT) utilizzati in settori come l’aerospaziale, l’energetico, il petrolchimico, le infrastrutture civili, l’automotive e i prodotti di consumo.</w:t>
      </w:r>
    </w:p>
    <w:p w14:paraId="1E32DD1C" w14:textId="77777777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20D4227" w14:textId="77777777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Le avanzate tecnologie NDT dell'azienda sono in grado di identificare imperfezioni e difetti non visibili in una grande varietà di componenti e materiali, metallici e non. </w:t>
      </w:r>
    </w:p>
    <w:p w14:paraId="2CAB6BC9" w14:textId="77777777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3F12C5A" w14:textId="4752D217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Rispetto a molte altre tecniche, gli strumenti NDT consentono notevoli risparmi sui costi di attrezzature e personale, poiché sono in gradio di identificare i difetti nascosti di strutture difficilmente accessibili.</w:t>
      </w:r>
    </w:p>
    <w:p w14:paraId="4F528E8D" w14:textId="77777777" w:rsidR="00CC0A07" w:rsidRP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663F4ABD" w14:textId="77777777" w:rsidR="00CC0A07" w:rsidRP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Olympus NDT ha sede nella Michelet Innovation Zone in Quebec e il suo moderno stabilimento è il punto di riferimento tecnologico delle altre sedi Olympus presenti in Nord America.</w:t>
      </w:r>
    </w:p>
    <w:p w14:paraId="491B847A" w14:textId="77777777" w:rsidR="00876B3B" w:rsidRPr="00876B3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</w:p>
    <w:p w14:paraId="3FB6296B" w14:textId="77777777" w:rsidR="00876B3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La sfida</w:t>
      </w:r>
    </w:p>
    <w:p w14:paraId="4A5FB354" w14:textId="77777777" w:rsidR="00876B3B" w:rsidRPr="00876B3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</w:p>
    <w:p w14:paraId="16C0B0AA" w14:textId="3F2735AA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Olympus NDT produce un componente di precisione a cuneo atto ad allineare correttamente i pezzi da sottoporre a prove non distruttive. Il cuneo viene posizionato tra il componente e l’apparecchiatura NDT, ciò consente di posizionare correttamente il componente e di proteggere al contempo la sonda da eventuali danni. </w:t>
      </w:r>
    </w:p>
    <w:p w14:paraId="5E429D83" w14:textId="77777777" w:rsidR="00CC0A07" w:rsidRP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9462300" w14:textId="6025F2B7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La domanda per cunei NDT è cresciuta rapidamente negli ultimi anni e lo stabilimento del Quebec rifornisce quattro sedi Olympus in Canada e negli Stati Uniti. Il maggiore carico di lavoro nell’impianto rendeva fondamentale l’automazione dei processi al fine di ottenere l’efficienza produttiva richiesta. </w:t>
      </w:r>
    </w:p>
    <w:p w14:paraId="2ADD4B85" w14:textId="77777777" w:rsidR="00CC0A07" w:rsidRP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2B9AE84" w14:textId="06A6FC85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Mentre la fresatrice CNC a 5 assi e il robot di caricamento consentivano la produzione continua durante i turni di notte e nel fine settimana, le ispezioni dimensionali nella fase di post-produzione dei cunei stavano causando colli di bottiglia inaccettabili e costosi tempi di inoperatività.</w:t>
      </w:r>
    </w:p>
    <w:p w14:paraId="4F322D91" w14:textId="77777777" w:rsidR="00CC0A07" w:rsidRP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868A6A3" w14:textId="19D1FB2D" w:rsid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Le tecniche di ispezione manuali erano troppo lente e l’aumento di produzione stava creando un carico di lavoro eccessivo per gli operatori.</w:t>
      </w:r>
    </w:p>
    <w:p w14:paraId="279D9FA0" w14:textId="77777777" w:rsidR="00D97E35" w:rsidRPr="00CC0A07" w:rsidRDefault="00D97E35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61CDAD41" w14:textId="77777777" w:rsidR="00CC0A07" w:rsidRPr="00CC0A07" w:rsidRDefault="00CC0A07" w:rsidP="00CC0A0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Era indispensabile identificare una soluzione di ispezione in-process avanzata, in grado di massimizzare la produzione garantendo nel contempo la precisione dei pezzi.</w:t>
      </w:r>
    </w:p>
    <w:p w14:paraId="44F33F02" w14:textId="77777777" w:rsidR="00631C7D" w:rsidRDefault="00631C7D" w:rsidP="00631C7D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2C4FE40" w14:textId="77777777" w:rsidR="00876B3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Soluzione</w:t>
      </w:r>
    </w:p>
    <w:p w14:paraId="1A5AC4E1" w14:textId="77777777" w:rsidR="00B0180B" w:rsidRDefault="00B0180B" w:rsidP="00B0180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23D7DDD" w14:textId="649168BB" w:rsid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Per soddisfare tali necessità, Olympus NDT necessitava di una cella di produzione completamente automatizzata per la fresatura, l’ispezione e la movimentazione di ogni pezzo. </w:t>
      </w:r>
    </w:p>
    <w:p w14:paraId="396BAA79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C12488C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La scelta è caduta sul sistema di ispezione Equator™, ideale per garantire risultati metrologici affidabili con una ripetibilità costante e velocità di lavorazione molto elevate. </w:t>
      </w:r>
    </w:p>
    <w:p w14:paraId="447604B7" w14:textId="7277A3F1" w:rsid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Grazie alla sonda di scansione analogica SP25M a 3 assi di Renishaw, il calibro Equator è in grado di catturare 1.000 punti al secondo per misurare posizione e forma su ogni cuneo prodotto. </w:t>
      </w:r>
    </w:p>
    <w:p w14:paraId="72D95965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E9FC2DC" w14:textId="174779D8" w:rsid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Il sistema di ispezione Equator funziona come un comparatore e verifica ogni pezzo prodotto rispetto a un componente di riferimento. Viene misurato prima un pezzo campione (il master) per generare una serie di dati di riferimento. Successivamente, ogni componente prodotto viene ispezionato e confrontato con la serie di dati di riferimento. I dati di misura vengono utilizzati per aggiornare automaticamente i parametri di lavorazione CNC e tenere sotto controllo il processo, prevenendo la produzione di componenti imprecisi. </w:t>
      </w:r>
    </w:p>
    <w:p w14:paraId="2C1A1A94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2035EB8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Inoltre, il calibro Equator è stato pienamente integrato nella cella di produzione dei cunei, eliminando la necessità di interventi manuali. Dopo la lavorazione, un manipolatore robotico recupera il cuneo dalla macchina utensile e lo porta sul calibro Equator tramite un sistema di trasferimento pneumatico. </w:t>
      </w:r>
    </w:p>
    <w:p w14:paraId="665588CA" w14:textId="007A61B5" w:rsid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Il robot e il calibro Equator sono interfacciati tramite un sistema I/O digitale, attraverso il quale il robot segnala il caricamento di un componente ed Equator comunica la conclusione del ciclo d’ispezione. </w:t>
      </w:r>
    </w:p>
    <w:p w14:paraId="72030A3C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A6DA650" w14:textId="77777777" w:rsidR="00D97E35" w:rsidRPr="00D97E35" w:rsidRDefault="00D97E35" w:rsidP="00D97E3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Il software Intelligent Process Control (IPC) di Renishaw, attivo sul controllo Equator, utilizza i risultati dell’ispezione per generare aggiornamenti al correttore utensile; gli aggiornamenti vengono quindi comunicati al controllo della macchina utensile per correggere automaticamente l’eventuale usura dell’utensile.</w:t>
      </w:r>
    </w:p>
    <w:p w14:paraId="5AE45078" w14:textId="77777777" w:rsidR="00876B3B" w:rsidRPr="00876B3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</w:p>
    <w:p w14:paraId="03EFFACB" w14:textId="77777777" w:rsidR="00876B3B" w:rsidRDefault="00876B3B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Risultati</w:t>
      </w:r>
    </w:p>
    <w:p w14:paraId="2874E024" w14:textId="77777777" w:rsidR="004273B0" w:rsidRDefault="004273B0" w:rsidP="003F06B0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</w:p>
    <w:bookmarkEnd w:id="0"/>
    <w:bookmarkEnd w:id="1"/>
    <w:p w14:paraId="4B1817AB" w14:textId="47EDCEBD" w:rsidR="00D97E35" w:rsidRDefault="00D97E35" w:rsidP="000F06E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Automatizzare il processo di ispezione dei cunei con Equator ha aiutato Olympus NDT a conseguire i propri obiettivi in termini di lavorazione e produttività. Grazie al supporto di Renishaw, l’implementazione completa del sistema ha richiesto solo 3 mesi dall’ordine alla messa in servizio e il ritorno sull’investimento è stato molto rapido. </w:t>
      </w:r>
    </w:p>
    <w:p w14:paraId="09210C65" w14:textId="77777777" w:rsidR="000F06E3" w:rsidRPr="00D97E35" w:rsidRDefault="000F06E3" w:rsidP="000F06E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650E3B8" w14:textId="7151E78C" w:rsidR="00D97E35" w:rsidRDefault="00D97E35" w:rsidP="000F06E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Inoltre, l’introduzione di questa soluzione ha chiaramente ridotto i colli di bottiglia in produzione. Il sistema di ispezione Equator è progettato per essere utilizzato direttamente in produzione. Il sistema è installato a fianco della macchina utensile, massimizzando così l’efficienza del processo di ispezione. È in grado d’ispezionare il 100% dei componenti prodotti, evitando di affidarsi a misure a campione. </w:t>
      </w:r>
    </w:p>
    <w:p w14:paraId="6E2CCE28" w14:textId="77777777" w:rsidR="000F06E3" w:rsidRPr="00D97E35" w:rsidRDefault="000F06E3" w:rsidP="000F06E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183CF991" w14:textId="77777777" w:rsidR="00D97E35" w:rsidRPr="00D97E35" w:rsidRDefault="00D97E35" w:rsidP="000F06E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La capacità del sistema Equator di interfacciarsi direttamente con il CNC consente di effettuare automaticamente qualsiasi aggiornamento richiesto non appena viene rilevata una deviazione dimensionale o di posizionamento. Questo ha consentito inoltre di minimizzare la quantità di scarti prodotti.</w:t>
      </w:r>
    </w:p>
    <w:p w14:paraId="2AEF4AD3" w14:textId="2A6C3F9F" w:rsidR="00DE3DD5" w:rsidRDefault="00DE3DD5" w:rsidP="000F06E3">
      <w:pPr>
        <w:spacing w:afterLines="120" w:after="288" w:line="264" w:lineRule="auto"/>
        <w:ind w:left="567" w:right="720"/>
        <w:rPr>
          <w:sz w:val="22"/>
          <w:szCs w:val="22"/>
          <w:u w:val="single"/>
        </w:rPr>
      </w:pPr>
    </w:p>
    <w:p w14:paraId="15D18271" w14:textId="2D0268E1" w:rsidR="00DE3DD5" w:rsidRDefault="00DE3DD5" w:rsidP="000F06E3">
      <w:pPr>
        <w:spacing w:afterLines="120" w:after="288" w:line="264" w:lineRule="auto"/>
        <w:ind w:left="567" w:right="720"/>
        <w:rPr>
          <w:sz w:val="22"/>
          <w:szCs w:val="22"/>
          <w:u w:val="single"/>
        </w:rPr>
      </w:pPr>
      <w:hyperlink r:id="rId12" w:history="1">
        <w:r w:rsidRPr="00DB5BF0">
          <w:rPr>
            <w:rStyle w:val="Hyperlink"/>
            <w:sz w:val="22"/>
            <w:szCs w:val="22"/>
          </w:rPr>
          <w:t>www.renishaw.it/olympus</w:t>
        </w:r>
      </w:hyperlink>
    </w:p>
    <w:p w14:paraId="6B2C6FFF" w14:textId="30EA6346" w:rsidR="00964BEB" w:rsidRPr="000F06E3" w:rsidRDefault="00555478" w:rsidP="000F06E3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>
        <w:rPr>
          <w:sz w:val="22"/>
          <w:szCs w:val="22"/>
          <w:u w:val="single"/>
        </w:rPr>
        <w:t>Fine</w:t>
      </w:r>
    </w:p>
    <w:sectPr w:rsidR="00964BEB" w:rsidRPr="000F06E3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4D4C3" w14:textId="77777777" w:rsidR="00170252" w:rsidRDefault="00170252">
      <w:r>
        <w:separator/>
      </w:r>
    </w:p>
  </w:endnote>
  <w:endnote w:type="continuationSeparator" w:id="0">
    <w:p w14:paraId="2A4B9A3C" w14:textId="77777777" w:rsidR="00170252" w:rsidRDefault="001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4EBDD" w14:textId="77777777" w:rsidR="00170252" w:rsidRDefault="00170252">
      <w:r>
        <w:separator/>
      </w:r>
    </w:p>
  </w:footnote>
  <w:footnote w:type="continuationSeparator" w:id="0">
    <w:p w14:paraId="5AAB6334" w14:textId="77777777" w:rsidR="00170252" w:rsidRDefault="0017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04D19"/>
    <w:rsid w:val="00010F0B"/>
    <w:rsid w:val="0001244E"/>
    <w:rsid w:val="0001369B"/>
    <w:rsid w:val="0001598D"/>
    <w:rsid w:val="00017085"/>
    <w:rsid w:val="00020AE8"/>
    <w:rsid w:val="000269EF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1570"/>
    <w:rsid w:val="000E4A52"/>
    <w:rsid w:val="000F06E3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0252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17B2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4931"/>
    <w:rsid w:val="00286364"/>
    <w:rsid w:val="00291A3D"/>
    <w:rsid w:val="00294302"/>
    <w:rsid w:val="002960FF"/>
    <w:rsid w:val="002A29CB"/>
    <w:rsid w:val="002A5739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5A6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51A01"/>
    <w:rsid w:val="00354BDC"/>
    <w:rsid w:val="0035671A"/>
    <w:rsid w:val="00361E20"/>
    <w:rsid w:val="00372C12"/>
    <w:rsid w:val="00373EED"/>
    <w:rsid w:val="003918EE"/>
    <w:rsid w:val="00396A6B"/>
    <w:rsid w:val="003972AD"/>
    <w:rsid w:val="003A11FB"/>
    <w:rsid w:val="003A33AE"/>
    <w:rsid w:val="003A3453"/>
    <w:rsid w:val="003A490F"/>
    <w:rsid w:val="003A6CD9"/>
    <w:rsid w:val="003B0DE2"/>
    <w:rsid w:val="003B1089"/>
    <w:rsid w:val="003B7E7B"/>
    <w:rsid w:val="003D0476"/>
    <w:rsid w:val="003D47A4"/>
    <w:rsid w:val="003E2E8A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273B0"/>
    <w:rsid w:val="0043569B"/>
    <w:rsid w:val="00440129"/>
    <w:rsid w:val="004406D0"/>
    <w:rsid w:val="00441209"/>
    <w:rsid w:val="00442E70"/>
    <w:rsid w:val="00454D95"/>
    <w:rsid w:val="00463D4B"/>
    <w:rsid w:val="00464945"/>
    <w:rsid w:val="00477BCE"/>
    <w:rsid w:val="00490C37"/>
    <w:rsid w:val="00491E1F"/>
    <w:rsid w:val="00496893"/>
    <w:rsid w:val="00497058"/>
    <w:rsid w:val="004A2516"/>
    <w:rsid w:val="004A5114"/>
    <w:rsid w:val="004A724F"/>
    <w:rsid w:val="004B0B42"/>
    <w:rsid w:val="004B262A"/>
    <w:rsid w:val="004C2059"/>
    <w:rsid w:val="004C3385"/>
    <w:rsid w:val="004C6E85"/>
    <w:rsid w:val="004C7ECE"/>
    <w:rsid w:val="004D027D"/>
    <w:rsid w:val="004D16C9"/>
    <w:rsid w:val="004D1718"/>
    <w:rsid w:val="004D2812"/>
    <w:rsid w:val="004D6994"/>
    <w:rsid w:val="004D6A0B"/>
    <w:rsid w:val="004E0469"/>
    <w:rsid w:val="004E04E1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C036E"/>
    <w:rsid w:val="005D3160"/>
    <w:rsid w:val="005E47D6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31C7D"/>
    <w:rsid w:val="00637260"/>
    <w:rsid w:val="00642658"/>
    <w:rsid w:val="00642D74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1FA7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88C"/>
    <w:rsid w:val="00793DD7"/>
    <w:rsid w:val="00794EDC"/>
    <w:rsid w:val="00796223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4CB1"/>
    <w:rsid w:val="00825CDC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76B3B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342D6"/>
    <w:rsid w:val="00942F01"/>
    <w:rsid w:val="009434C8"/>
    <w:rsid w:val="00952190"/>
    <w:rsid w:val="00955673"/>
    <w:rsid w:val="0095581C"/>
    <w:rsid w:val="00961FA3"/>
    <w:rsid w:val="00964BEB"/>
    <w:rsid w:val="00971D21"/>
    <w:rsid w:val="00972B14"/>
    <w:rsid w:val="009736F3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E651B"/>
    <w:rsid w:val="009F0626"/>
    <w:rsid w:val="009F0CBE"/>
    <w:rsid w:val="00A04CF0"/>
    <w:rsid w:val="00A1072F"/>
    <w:rsid w:val="00A1125D"/>
    <w:rsid w:val="00A23514"/>
    <w:rsid w:val="00A2425A"/>
    <w:rsid w:val="00A2470F"/>
    <w:rsid w:val="00A26EFC"/>
    <w:rsid w:val="00A3055D"/>
    <w:rsid w:val="00A306E4"/>
    <w:rsid w:val="00A33482"/>
    <w:rsid w:val="00A43440"/>
    <w:rsid w:val="00A4454A"/>
    <w:rsid w:val="00A46FB8"/>
    <w:rsid w:val="00A51557"/>
    <w:rsid w:val="00A51580"/>
    <w:rsid w:val="00A57606"/>
    <w:rsid w:val="00A676A1"/>
    <w:rsid w:val="00A71333"/>
    <w:rsid w:val="00A83A2F"/>
    <w:rsid w:val="00A93E0B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0180B"/>
    <w:rsid w:val="00B12751"/>
    <w:rsid w:val="00B16F19"/>
    <w:rsid w:val="00B207EB"/>
    <w:rsid w:val="00B26D5F"/>
    <w:rsid w:val="00B32116"/>
    <w:rsid w:val="00B420F3"/>
    <w:rsid w:val="00B43FBC"/>
    <w:rsid w:val="00B51C94"/>
    <w:rsid w:val="00B54A61"/>
    <w:rsid w:val="00B54FDD"/>
    <w:rsid w:val="00B60D27"/>
    <w:rsid w:val="00B62F8E"/>
    <w:rsid w:val="00B71181"/>
    <w:rsid w:val="00B72246"/>
    <w:rsid w:val="00B757F0"/>
    <w:rsid w:val="00B8453E"/>
    <w:rsid w:val="00B950BC"/>
    <w:rsid w:val="00BA0542"/>
    <w:rsid w:val="00BC1C0D"/>
    <w:rsid w:val="00BC6731"/>
    <w:rsid w:val="00BD2374"/>
    <w:rsid w:val="00BE407B"/>
    <w:rsid w:val="00C0370A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0A07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97E35"/>
    <w:rsid w:val="00DA30B2"/>
    <w:rsid w:val="00DA36CB"/>
    <w:rsid w:val="00DC10D3"/>
    <w:rsid w:val="00DD1BD7"/>
    <w:rsid w:val="00DD2CFD"/>
    <w:rsid w:val="00DE3DD5"/>
    <w:rsid w:val="00DE7066"/>
    <w:rsid w:val="00DF1BA7"/>
    <w:rsid w:val="00DF1EAD"/>
    <w:rsid w:val="00DF444A"/>
    <w:rsid w:val="00E021C1"/>
    <w:rsid w:val="00E03925"/>
    <w:rsid w:val="00E03F58"/>
    <w:rsid w:val="00E25AA8"/>
    <w:rsid w:val="00E32B3E"/>
    <w:rsid w:val="00E4665C"/>
    <w:rsid w:val="00E50A59"/>
    <w:rsid w:val="00E51859"/>
    <w:rsid w:val="00E5503C"/>
    <w:rsid w:val="00E623A0"/>
    <w:rsid w:val="00E630E4"/>
    <w:rsid w:val="00E71627"/>
    <w:rsid w:val="00E81C29"/>
    <w:rsid w:val="00E8394A"/>
    <w:rsid w:val="00E874E8"/>
    <w:rsid w:val="00E91995"/>
    <w:rsid w:val="00E925EF"/>
    <w:rsid w:val="00EA45E8"/>
    <w:rsid w:val="00EB00F8"/>
    <w:rsid w:val="00EC1721"/>
    <w:rsid w:val="00EC2A16"/>
    <w:rsid w:val="00EC70FD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5FF0"/>
    <w:rsid w:val="00F26B59"/>
    <w:rsid w:val="00F37722"/>
    <w:rsid w:val="00F4061E"/>
    <w:rsid w:val="00F43446"/>
    <w:rsid w:val="00F50C2F"/>
    <w:rsid w:val="00F63F27"/>
    <w:rsid w:val="00F67B67"/>
    <w:rsid w:val="00F76AFD"/>
    <w:rsid w:val="00F76F3E"/>
    <w:rsid w:val="00F97586"/>
    <w:rsid w:val="00FA04B0"/>
    <w:rsid w:val="00FA1A4A"/>
    <w:rsid w:val="00FA435A"/>
    <w:rsid w:val="00FB548D"/>
    <w:rsid w:val="00FB6613"/>
    <w:rsid w:val="00FC00A1"/>
    <w:rsid w:val="00FC4580"/>
    <w:rsid w:val="00FC5049"/>
    <w:rsid w:val="00FD11E6"/>
    <w:rsid w:val="00FD57BA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4A542B"/>
  <w15:docId w15:val="{F3A48BC0-EBFF-476B-868F-3B5FA27C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FollowedHyperlink">
    <w:name w:val="FollowedHyperlink"/>
    <w:basedOn w:val="DefaultParagraphFont"/>
    <w:semiHidden/>
    <w:unhideWhenUsed/>
    <w:rsid w:val="00FD57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it/olymp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291B-C583-4094-8A2B-055072AA4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9ADE8-E749-4DC3-B093-9A678C608D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4d3ed54-142c-4ac0-8d13-a5f340537a3a"/>
    <ds:schemaRef ds:uri="http://purl.org/dc/elements/1.1/"/>
    <ds:schemaRef ds:uri="http://schemas.microsoft.com/office/2006/metadata/properties"/>
    <ds:schemaRef ds:uri="26600812-83e8-4289-8a6b-ff351b3853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1CE334-CA63-40B2-A6A9-65F5B876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B2EE7-EEA1-4A64-9806-DA95DBBE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4824</Characters>
  <Application>Microsoft Office Word</Application>
  <DocSecurity>0</DocSecurity>
  <Lines>123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Jo Green</cp:lastModifiedBy>
  <cp:revision>3</cp:revision>
  <cp:lastPrinted>2017-02-15T16:21:00Z</cp:lastPrinted>
  <dcterms:created xsi:type="dcterms:W3CDTF">2020-07-09T18:53:00Z</dcterms:created>
  <dcterms:modified xsi:type="dcterms:W3CDTF">2021-02-09T22:43:00Z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