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955765" w14:textId="77777777" w:rsidR="00C77DBE" w:rsidRDefault="00C77DBE" w:rsidP="00C77DBE">
      <w:pPr>
        <w:spacing w:line="336" w:lineRule="auto"/>
        <w:ind w:right="-554"/>
        <w:rPr>
          <w:rFonts w:ascii="Arial" w:hAnsi="Arial"/>
          <w:b/>
          <w:color w:val="000000" w:themeColor="text1"/>
          <w:sz w:val="24"/>
        </w:rPr>
      </w:pPr>
      <w:r>
        <w:rPr>
          <w:rFonts w:ascii="Arial" w:hAnsi="Arial"/>
          <w:b/>
          <w:color w:val="000000" w:themeColor="text1"/>
          <w:sz w:val="24"/>
        </w:rPr>
        <w:t xml:space="preserve">Les technologies de machines à </w:t>
      </w:r>
      <w:proofErr w:type="spellStart"/>
      <w:r>
        <w:rPr>
          <w:rFonts w:ascii="Arial" w:hAnsi="Arial"/>
          <w:b/>
          <w:color w:val="000000" w:themeColor="text1"/>
          <w:sz w:val="24"/>
        </w:rPr>
        <w:t>mesurer</w:t>
      </w:r>
      <w:proofErr w:type="spellEnd"/>
      <w:r>
        <w:rPr>
          <w:rFonts w:ascii="Arial" w:hAnsi="Arial"/>
          <w:b/>
          <w:color w:val="000000" w:themeColor="text1"/>
          <w:sz w:val="24"/>
        </w:rPr>
        <w:t xml:space="preserve"> </w:t>
      </w:r>
      <w:proofErr w:type="spellStart"/>
      <w:r>
        <w:rPr>
          <w:rFonts w:ascii="Arial" w:hAnsi="Arial"/>
          <w:b/>
          <w:color w:val="000000" w:themeColor="text1"/>
          <w:sz w:val="24"/>
        </w:rPr>
        <w:t>tridimensionnelles</w:t>
      </w:r>
      <w:proofErr w:type="spellEnd"/>
      <w:r>
        <w:rPr>
          <w:rFonts w:ascii="Arial" w:hAnsi="Arial"/>
          <w:b/>
          <w:color w:val="000000" w:themeColor="text1"/>
          <w:sz w:val="24"/>
        </w:rPr>
        <w:t xml:space="preserve"> (MMT) de Renishaw </w:t>
      </w:r>
      <w:proofErr w:type="spellStart"/>
      <w:r>
        <w:rPr>
          <w:rFonts w:ascii="Arial" w:hAnsi="Arial"/>
          <w:b/>
          <w:color w:val="000000" w:themeColor="text1"/>
          <w:sz w:val="24"/>
        </w:rPr>
        <w:t>seront</w:t>
      </w:r>
      <w:proofErr w:type="spellEnd"/>
      <w:r>
        <w:rPr>
          <w:rFonts w:ascii="Arial" w:hAnsi="Arial"/>
          <w:b/>
          <w:color w:val="000000" w:themeColor="text1"/>
          <w:sz w:val="24"/>
        </w:rPr>
        <w:t xml:space="preserve"> </w:t>
      </w:r>
      <w:proofErr w:type="spellStart"/>
      <w:r>
        <w:rPr>
          <w:rFonts w:ascii="Arial" w:hAnsi="Arial"/>
          <w:b/>
          <w:color w:val="000000" w:themeColor="text1"/>
          <w:sz w:val="24"/>
        </w:rPr>
        <w:t>en</w:t>
      </w:r>
      <w:proofErr w:type="spellEnd"/>
      <w:r>
        <w:rPr>
          <w:rFonts w:ascii="Arial" w:hAnsi="Arial"/>
          <w:b/>
          <w:color w:val="000000" w:themeColor="text1"/>
          <w:sz w:val="24"/>
        </w:rPr>
        <w:t xml:space="preserve"> </w:t>
      </w:r>
      <w:proofErr w:type="spellStart"/>
      <w:r>
        <w:rPr>
          <w:rFonts w:ascii="Arial" w:hAnsi="Arial"/>
          <w:b/>
          <w:color w:val="000000" w:themeColor="text1"/>
          <w:sz w:val="24"/>
        </w:rPr>
        <w:t>démonstration</w:t>
      </w:r>
      <w:proofErr w:type="spellEnd"/>
      <w:r>
        <w:rPr>
          <w:rFonts w:ascii="Arial" w:hAnsi="Arial"/>
          <w:b/>
          <w:color w:val="000000" w:themeColor="text1"/>
          <w:sz w:val="24"/>
        </w:rPr>
        <w:t xml:space="preserve"> à </w:t>
      </w:r>
      <w:proofErr w:type="spellStart"/>
      <w:r>
        <w:rPr>
          <w:rFonts w:ascii="Arial" w:hAnsi="Arial"/>
          <w:b/>
          <w:color w:val="000000" w:themeColor="text1"/>
          <w:sz w:val="24"/>
        </w:rPr>
        <w:t>l’EMO</w:t>
      </w:r>
      <w:proofErr w:type="spellEnd"/>
      <w:r>
        <w:rPr>
          <w:rFonts w:ascii="Arial" w:hAnsi="Arial"/>
          <w:b/>
          <w:color w:val="000000" w:themeColor="text1"/>
          <w:sz w:val="24"/>
        </w:rPr>
        <w:t xml:space="preserve"> </w:t>
      </w:r>
      <w:proofErr w:type="spellStart"/>
      <w:r>
        <w:rPr>
          <w:rFonts w:ascii="Arial" w:hAnsi="Arial"/>
          <w:b/>
          <w:color w:val="000000" w:themeColor="text1"/>
          <w:sz w:val="24"/>
        </w:rPr>
        <w:t>d’Hanovre</w:t>
      </w:r>
      <w:proofErr w:type="spellEnd"/>
      <w:r>
        <w:rPr>
          <w:rFonts w:ascii="Arial" w:hAnsi="Arial"/>
          <w:b/>
          <w:color w:val="000000" w:themeColor="text1"/>
          <w:sz w:val="24"/>
        </w:rPr>
        <w:t xml:space="preserve"> 2023</w:t>
      </w:r>
    </w:p>
    <w:p w14:paraId="0C542FBA" w14:textId="77777777" w:rsidR="00C77DBE" w:rsidRDefault="00C77DBE" w:rsidP="00C77DBE">
      <w:pPr>
        <w:spacing w:line="336" w:lineRule="auto"/>
        <w:ind w:right="-554"/>
        <w:rPr>
          <w:rFonts w:ascii="Arial" w:eastAsia="Arial" w:hAnsi="Arial" w:cs="Arial"/>
          <w:b/>
          <w:bCs/>
          <w:color w:val="000000" w:themeColor="text1"/>
          <w:sz w:val="24"/>
          <w:szCs w:val="24"/>
        </w:rPr>
      </w:pPr>
    </w:p>
    <w:p w14:paraId="45469C40" w14:textId="77777777" w:rsidR="00C77DBE" w:rsidRDefault="00C77DBE" w:rsidP="00C77DBE">
      <w:pPr>
        <w:spacing w:line="336" w:lineRule="auto"/>
        <w:ind w:right="-554"/>
        <w:rPr>
          <w:rFonts w:ascii="Arial" w:hAnsi="Arial"/>
          <w:color w:val="000000" w:themeColor="text1"/>
        </w:rPr>
      </w:pPr>
      <w:r>
        <w:rPr>
          <w:rFonts w:ascii="Arial" w:hAnsi="Arial"/>
          <w:color w:val="000000" w:themeColor="text1"/>
        </w:rPr>
        <w:t xml:space="preserve">À </w:t>
      </w:r>
      <w:proofErr w:type="spellStart"/>
      <w:r>
        <w:rPr>
          <w:rFonts w:ascii="Arial" w:hAnsi="Arial"/>
          <w:color w:val="000000" w:themeColor="text1"/>
        </w:rPr>
        <w:t>l’occasion</w:t>
      </w:r>
      <w:proofErr w:type="spellEnd"/>
      <w:r>
        <w:rPr>
          <w:rFonts w:ascii="Arial" w:hAnsi="Arial"/>
          <w:color w:val="000000" w:themeColor="text1"/>
        </w:rPr>
        <w:t xml:space="preserve"> de son 50</w:t>
      </w:r>
      <w:r>
        <w:rPr>
          <w:rFonts w:ascii="Arial" w:hAnsi="Arial"/>
          <w:color w:val="000000" w:themeColor="text1"/>
          <w:vertAlign w:val="superscript"/>
        </w:rPr>
        <w:t>ème</w:t>
      </w:r>
      <w:r>
        <w:rPr>
          <w:rFonts w:ascii="Arial" w:hAnsi="Arial"/>
          <w:color w:val="000000" w:themeColor="text1"/>
        </w:rPr>
        <w:t xml:space="preserve"> </w:t>
      </w:r>
      <w:proofErr w:type="spellStart"/>
      <w:r>
        <w:rPr>
          <w:rFonts w:ascii="Arial" w:hAnsi="Arial"/>
          <w:color w:val="000000" w:themeColor="text1"/>
        </w:rPr>
        <w:t>anniversaire</w:t>
      </w:r>
      <w:proofErr w:type="spellEnd"/>
      <w:r>
        <w:rPr>
          <w:rFonts w:ascii="Arial" w:hAnsi="Arial"/>
          <w:color w:val="000000" w:themeColor="text1"/>
        </w:rPr>
        <w:t xml:space="preserve">, Renishaw, fabricant leader </w:t>
      </w:r>
      <w:proofErr w:type="spellStart"/>
      <w:r>
        <w:rPr>
          <w:rFonts w:ascii="Arial" w:hAnsi="Arial"/>
          <w:color w:val="000000" w:themeColor="text1"/>
        </w:rPr>
        <w:t>mondial</w:t>
      </w:r>
      <w:proofErr w:type="spellEnd"/>
      <w:r>
        <w:rPr>
          <w:rFonts w:ascii="Arial" w:hAnsi="Arial"/>
          <w:color w:val="000000" w:themeColor="text1"/>
        </w:rPr>
        <w:t xml:space="preserve"> des </w:t>
      </w:r>
      <w:proofErr w:type="spellStart"/>
      <w:r>
        <w:rPr>
          <w:rFonts w:ascii="Arial" w:hAnsi="Arial"/>
          <w:color w:val="000000" w:themeColor="text1"/>
        </w:rPr>
        <w:t>systèmes</w:t>
      </w:r>
      <w:proofErr w:type="spellEnd"/>
      <w:r>
        <w:rPr>
          <w:rFonts w:ascii="Arial" w:hAnsi="Arial"/>
          <w:color w:val="000000" w:themeColor="text1"/>
        </w:rPr>
        <w:t xml:space="preserve"> de </w:t>
      </w:r>
      <w:proofErr w:type="spellStart"/>
      <w:r>
        <w:rPr>
          <w:rFonts w:ascii="Arial" w:hAnsi="Arial"/>
          <w:color w:val="000000" w:themeColor="text1"/>
        </w:rPr>
        <w:t>métrologie</w:t>
      </w:r>
      <w:proofErr w:type="spellEnd"/>
      <w:r>
        <w:rPr>
          <w:rFonts w:ascii="Arial" w:hAnsi="Arial"/>
          <w:color w:val="000000" w:themeColor="text1"/>
        </w:rPr>
        <w:t xml:space="preserve">, </w:t>
      </w:r>
      <w:proofErr w:type="spellStart"/>
      <w:r>
        <w:rPr>
          <w:rFonts w:ascii="Arial" w:hAnsi="Arial"/>
          <w:color w:val="000000" w:themeColor="text1"/>
        </w:rPr>
        <w:t>présentera</w:t>
      </w:r>
      <w:proofErr w:type="spellEnd"/>
      <w:r>
        <w:rPr>
          <w:rFonts w:ascii="Arial" w:hAnsi="Arial"/>
          <w:color w:val="000000" w:themeColor="text1"/>
        </w:rPr>
        <w:t xml:space="preserve"> à </w:t>
      </w:r>
      <w:proofErr w:type="spellStart"/>
      <w:r>
        <w:rPr>
          <w:rFonts w:ascii="Arial" w:hAnsi="Arial"/>
          <w:color w:val="000000" w:themeColor="text1"/>
        </w:rPr>
        <w:t>l’EMO</w:t>
      </w:r>
      <w:proofErr w:type="spellEnd"/>
      <w:r>
        <w:rPr>
          <w:rFonts w:ascii="Arial" w:hAnsi="Arial"/>
          <w:color w:val="000000" w:themeColor="text1"/>
        </w:rPr>
        <w:t xml:space="preserve"> </w:t>
      </w:r>
      <w:proofErr w:type="spellStart"/>
      <w:r>
        <w:rPr>
          <w:rFonts w:ascii="Arial" w:hAnsi="Arial"/>
          <w:color w:val="000000" w:themeColor="text1"/>
        </w:rPr>
        <w:t>d’Hanovre</w:t>
      </w:r>
      <w:proofErr w:type="spellEnd"/>
      <w:r>
        <w:rPr>
          <w:rFonts w:ascii="Arial" w:hAnsi="Arial"/>
          <w:color w:val="000000" w:themeColor="text1"/>
        </w:rPr>
        <w:t xml:space="preserve"> 2023 des solutions </w:t>
      </w:r>
      <w:proofErr w:type="spellStart"/>
      <w:r>
        <w:rPr>
          <w:rFonts w:ascii="Arial" w:hAnsi="Arial"/>
          <w:color w:val="000000" w:themeColor="text1"/>
        </w:rPr>
        <w:t>innovantes</w:t>
      </w:r>
      <w:proofErr w:type="spellEnd"/>
      <w:r>
        <w:rPr>
          <w:rFonts w:ascii="Arial" w:hAnsi="Arial"/>
          <w:color w:val="000000" w:themeColor="text1"/>
        </w:rPr>
        <w:t xml:space="preserve"> de machines à </w:t>
      </w:r>
      <w:proofErr w:type="spellStart"/>
      <w:r>
        <w:rPr>
          <w:rFonts w:ascii="Arial" w:hAnsi="Arial"/>
          <w:color w:val="000000" w:themeColor="text1"/>
        </w:rPr>
        <w:t>mesurer</w:t>
      </w:r>
      <w:proofErr w:type="spellEnd"/>
      <w:r>
        <w:rPr>
          <w:rFonts w:ascii="Arial" w:hAnsi="Arial"/>
          <w:color w:val="000000" w:themeColor="text1"/>
        </w:rPr>
        <w:t xml:space="preserve"> </w:t>
      </w:r>
      <w:proofErr w:type="spellStart"/>
      <w:r>
        <w:rPr>
          <w:rFonts w:ascii="Arial" w:hAnsi="Arial"/>
          <w:color w:val="000000" w:themeColor="text1"/>
        </w:rPr>
        <w:t>tridimensionnelles</w:t>
      </w:r>
      <w:proofErr w:type="spellEnd"/>
      <w:r>
        <w:rPr>
          <w:rFonts w:ascii="Arial" w:hAnsi="Arial"/>
          <w:color w:val="000000" w:themeColor="text1"/>
        </w:rPr>
        <w:t xml:space="preserve"> (MMT) pour </w:t>
      </w:r>
      <w:proofErr w:type="spellStart"/>
      <w:r>
        <w:rPr>
          <w:rFonts w:ascii="Arial" w:hAnsi="Arial"/>
          <w:color w:val="000000" w:themeColor="text1"/>
        </w:rPr>
        <w:t>une</w:t>
      </w:r>
      <w:proofErr w:type="spellEnd"/>
      <w:r>
        <w:rPr>
          <w:rFonts w:ascii="Arial" w:hAnsi="Arial"/>
          <w:color w:val="000000" w:themeColor="text1"/>
        </w:rPr>
        <w:t xml:space="preserve"> fabrication </w:t>
      </w:r>
      <w:proofErr w:type="spellStart"/>
      <w:r>
        <w:rPr>
          <w:rFonts w:ascii="Arial" w:hAnsi="Arial"/>
          <w:color w:val="000000" w:themeColor="text1"/>
        </w:rPr>
        <w:t>optimisée</w:t>
      </w:r>
      <w:proofErr w:type="spellEnd"/>
      <w:r>
        <w:rPr>
          <w:rFonts w:ascii="Arial" w:hAnsi="Arial"/>
          <w:color w:val="000000" w:themeColor="text1"/>
        </w:rPr>
        <w:t>.</w:t>
      </w:r>
    </w:p>
    <w:p w14:paraId="64F9A590" w14:textId="77777777" w:rsidR="00C77DBE" w:rsidRDefault="00C77DBE" w:rsidP="00C77DBE">
      <w:pPr>
        <w:spacing w:line="336" w:lineRule="auto"/>
        <w:ind w:right="-554"/>
        <w:rPr>
          <w:rFonts w:ascii="Arial" w:eastAsia="Arial" w:hAnsi="Arial" w:cs="Arial"/>
          <w:color w:val="000000" w:themeColor="text1"/>
        </w:rPr>
      </w:pPr>
    </w:p>
    <w:p w14:paraId="40E525EE" w14:textId="77777777" w:rsidR="00C77DBE" w:rsidRDefault="00C77DBE" w:rsidP="00C77DBE">
      <w:pPr>
        <w:spacing w:line="336" w:lineRule="auto"/>
        <w:ind w:right="-554"/>
        <w:rPr>
          <w:rFonts w:ascii="Arial" w:hAnsi="Arial"/>
          <w:color w:val="000000" w:themeColor="text1"/>
          <w:lang w:val="pt-BR"/>
        </w:rPr>
      </w:pPr>
      <w:r>
        <w:rPr>
          <w:rFonts w:ascii="Arial" w:hAnsi="Arial"/>
          <w:color w:val="000000" w:themeColor="text1"/>
        </w:rPr>
        <w:t xml:space="preserve">Le </w:t>
      </w:r>
      <w:proofErr w:type="spellStart"/>
      <w:r>
        <w:rPr>
          <w:rFonts w:ascii="Arial" w:hAnsi="Arial"/>
          <w:color w:val="000000" w:themeColor="text1"/>
        </w:rPr>
        <w:t>système</w:t>
      </w:r>
      <w:proofErr w:type="spellEnd"/>
      <w:r>
        <w:rPr>
          <w:rFonts w:ascii="Arial" w:hAnsi="Arial"/>
          <w:color w:val="000000" w:themeColor="text1"/>
        </w:rPr>
        <w:t xml:space="preserve"> </w:t>
      </w:r>
      <w:proofErr w:type="spellStart"/>
      <w:r>
        <w:rPr>
          <w:rFonts w:ascii="Arial" w:hAnsi="Arial"/>
          <w:color w:val="000000" w:themeColor="text1"/>
        </w:rPr>
        <w:t>multipalpeur</w:t>
      </w:r>
      <w:proofErr w:type="spellEnd"/>
      <w:r>
        <w:rPr>
          <w:rFonts w:ascii="Arial" w:hAnsi="Arial"/>
          <w:color w:val="000000" w:themeColor="text1"/>
        </w:rPr>
        <w:t xml:space="preserve"> 5 axes REVO</w:t>
      </w:r>
      <w:r>
        <w:rPr>
          <w:rFonts w:ascii="Arial" w:hAnsi="Arial"/>
          <w:color w:val="000000" w:themeColor="text1"/>
          <w:vertAlign w:val="superscript"/>
        </w:rPr>
        <w:t>®</w:t>
      </w:r>
      <w:r>
        <w:rPr>
          <w:rFonts w:ascii="Arial" w:hAnsi="Arial"/>
          <w:color w:val="000000" w:themeColor="text1"/>
        </w:rPr>
        <w:t xml:space="preserve">, avec </w:t>
      </w:r>
      <w:proofErr w:type="spellStart"/>
      <w:r>
        <w:rPr>
          <w:rFonts w:ascii="Arial" w:hAnsi="Arial"/>
          <w:color w:val="000000" w:themeColor="text1"/>
        </w:rPr>
        <w:t>sa</w:t>
      </w:r>
      <w:proofErr w:type="spellEnd"/>
      <w:r>
        <w:rPr>
          <w:rFonts w:ascii="Arial" w:hAnsi="Arial"/>
          <w:color w:val="000000" w:themeColor="text1"/>
        </w:rPr>
        <w:t xml:space="preserve"> large </w:t>
      </w:r>
      <w:proofErr w:type="spellStart"/>
      <w:r>
        <w:rPr>
          <w:rFonts w:ascii="Arial" w:hAnsi="Arial"/>
          <w:color w:val="000000" w:themeColor="text1"/>
        </w:rPr>
        <w:t>gamme</w:t>
      </w:r>
      <w:proofErr w:type="spellEnd"/>
      <w:r>
        <w:rPr>
          <w:rFonts w:ascii="Arial" w:hAnsi="Arial"/>
          <w:color w:val="000000" w:themeColor="text1"/>
        </w:rPr>
        <w:t xml:space="preserve"> de </w:t>
      </w:r>
      <w:proofErr w:type="spellStart"/>
      <w:r>
        <w:rPr>
          <w:rFonts w:ascii="Arial" w:hAnsi="Arial"/>
          <w:color w:val="000000" w:themeColor="text1"/>
        </w:rPr>
        <w:t>palpeurs</w:t>
      </w:r>
      <w:proofErr w:type="spellEnd"/>
      <w:r>
        <w:rPr>
          <w:rFonts w:ascii="Arial" w:hAnsi="Arial"/>
          <w:color w:val="000000" w:themeColor="text1"/>
        </w:rPr>
        <w:t xml:space="preserve">, sera </w:t>
      </w:r>
      <w:proofErr w:type="spellStart"/>
      <w:r>
        <w:rPr>
          <w:rFonts w:ascii="Arial" w:hAnsi="Arial"/>
          <w:color w:val="000000" w:themeColor="text1"/>
        </w:rPr>
        <w:t>notamment</w:t>
      </w:r>
      <w:proofErr w:type="spellEnd"/>
      <w:r>
        <w:rPr>
          <w:rFonts w:ascii="Arial" w:hAnsi="Arial"/>
          <w:color w:val="000000" w:themeColor="text1"/>
        </w:rPr>
        <w:t xml:space="preserve"> exposé. Ce </w:t>
      </w:r>
      <w:proofErr w:type="spellStart"/>
      <w:r>
        <w:rPr>
          <w:rFonts w:ascii="Arial" w:hAnsi="Arial"/>
          <w:color w:val="000000" w:themeColor="text1"/>
        </w:rPr>
        <w:t>système</w:t>
      </w:r>
      <w:proofErr w:type="spellEnd"/>
      <w:r>
        <w:rPr>
          <w:rFonts w:ascii="Arial" w:hAnsi="Arial"/>
          <w:color w:val="000000" w:themeColor="text1"/>
        </w:rPr>
        <w:t xml:space="preserve"> </w:t>
      </w:r>
      <w:proofErr w:type="spellStart"/>
      <w:r>
        <w:rPr>
          <w:rFonts w:ascii="Arial" w:hAnsi="Arial"/>
          <w:color w:val="000000" w:themeColor="text1"/>
        </w:rPr>
        <w:t>permet</w:t>
      </w:r>
      <w:proofErr w:type="spellEnd"/>
      <w:r>
        <w:rPr>
          <w:rFonts w:ascii="Arial" w:hAnsi="Arial"/>
          <w:color w:val="000000" w:themeColor="text1"/>
        </w:rPr>
        <w:t xml:space="preserve"> de </w:t>
      </w:r>
      <w:proofErr w:type="spellStart"/>
      <w:r>
        <w:rPr>
          <w:rFonts w:ascii="Arial" w:hAnsi="Arial"/>
          <w:color w:val="000000" w:themeColor="text1"/>
        </w:rPr>
        <w:t>basculer</w:t>
      </w:r>
      <w:proofErr w:type="spellEnd"/>
      <w:r>
        <w:rPr>
          <w:rFonts w:ascii="Arial" w:hAnsi="Arial"/>
          <w:color w:val="000000" w:themeColor="text1"/>
        </w:rPr>
        <w:t xml:space="preserve"> </w:t>
      </w:r>
      <w:proofErr w:type="spellStart"/>
      <w:r>
        <w:rPr>
          <w:rFonts w:ascii="Arial" w:hAnsi="Arial"/>
          <w:color w:val="000000" w:themeColor="text1"/>
        </w:rPr>
        <w:t>automatiquement</w:t>
      </w:r>
      <w:proofErr w:type="spellEnd"/>
      <w:r>
        <w:rPr>
          <w:rFonts w:ascii="Arial" w:hAnsi="Arial"/>
          <w:color w:val="000000" w:themeColor="text1"/>
        </w:rPr>
        <w:t xml:space="preserve"> entre le </w:t>
      </w:r>
      <w:proofErr w:type="spellStart"/>
      <w:r>
        <w:rPr>
          <w:rFonts w:ascii="Arial" w:hAnsi="Arial"/>
          <w:color w:val="000000" w:themeColor="text1"/>
        </w:rPr>
        <w:t>palpage</w:t>
      </w:r>
      <w:proofErr w:type="spellEnd"/>
      <w:r>
        <w:rPr>
          <w:rFonts w:ascii="Arial" w:hAnsi="Arial"/>
          <w:color w:val="000000" w:themeColor="text1"/>
        </w:rPr>
        <w:t xml:space="preserve"> </w:t>
      </w:r>
      <w:proofErr w:type="spellStart"/>
      <w:r>
        <w:rPr>
          <w:rFonts w:ascii="Arial" w:hAnsi="Arial"/>
          <w:color w:val="000000" w:themeColor="text1"/>
        </w:rPr>
        <w:t>continu</w:t>
      </w:r>
      <w:proofErr w:type="spellEnd"/>
      <w:r>
        <w:rPr>
          <w:rFonts w:ascii="Arial" w:hAnsi="Arial"/>
          <w:color w:val="000000" w:themeColor="text1"/>
        </w:rPr>
        <w:t xml:space="preserve">, le </w:t>
      </w:r>
      <w:proofErr w:type="spellStart"/>
      <w:r>
        <w:rPr>
          <w:rFonts w:ascii="Arial" w:hAnsi="Arial"/>
          <w:color w:val="000000" w:themeColor="text1"/>
        </w:rPr>
        <w:t>déclenchement</w:t>
      </w:r>
      <w:proofErr w:type="spellEnd"/>
      <w:r>
        <w:rPr>
          <w:rFonts w:ascii="Arial" w:hAnsi="Arial"/>
          <w:color w:val="000000" w:themeColor="text1"/>
        </w:rPr>
        <w:t xml:space="preserve"> par contact, la </w:t>
      </w:r>
      <w:proofErr w:type="spellStart"/>
      <w:r>
        <w:rPr>
          <w:rFonts w:ascii="Arial" w:hAnsi="Arial"/>
          <w:color w:val="000000" w:themeColor="text1"/>
        </w:rPr>
        <w:t>mesure</w:t>
      </w:r>
      <w:proofErr w:type="spellEnd"/>
      <w:r>
        <w:rPr>
          <w:rFonts w:ascii="Arial" w:hAnsi="Arial"/>
          <w:color w:val="000000" w:themeColor="text1"/>
        </w:rPr>
        <w:t xml:space="preserve"> </w:t>
      </w:r>
      <w:proofErr w:type="spellStart"/>
      <w:r>
        <w:rPr>
          <w:rFonts w:ascii="Arial" w:hAnsi="Arial"/>
          <w:color w:val="000000" w:themeColor="text1"/>
        </w:rPr>
        <w:t>ultrason</w:t>
      </w:r>
      <w:proofErr w:type="spellEnd"/>
      <w:r>
        <w:rPr>
          <w:rFonts w:ascii="Arial" w:hAnsi="Arial"/>
          <w:color w:val="000000" w:themeColor="text1"/>
        </w:rPr>
        <w:t xml:space="preserve">, le </w:t>
      </w:r>
      <w:proofErr w:type="spellStart"/>
      <w:r>
        <w:rPr>
          <w:rFonts w:ascii="Arial" w:hAnsi="Arial"/>
          <w:color w:val="000000" w:themeColor="text1"/>
        </w:rPr>
        <w:t>contrôle</w:t>
      </w:r>
      <w:proofErr w:type="spellEnd"/>
      <w:r>
        <w:rPr>
          <w:rFonts w:ascii="Arial" w:hAnsi="Arial"/>
          <w:color w:val="000000" w:themeColor="text1"/>
        </w:rPr>
        <w:t xml:space="preserve"> par vision et la </w:t>
      </w:r>
      <w:proofErr w:type="spellStart"/>
      <w:r>
        <w:rPr>
          <w:rFonts w:ascii="Arial" w:hAnsi="Arial"/>
          <w:color w:val="000000" w:themeColor="text1"/>
        </w:rPr>
        <w:t>mesure</w:t>
      </w:r>
      <w:proofErr w:type="spellEnd"/>
      <w:r>
        <w:rPr>
          <w:rFonts w:ascii="Arial" w:hAnsi="Arial"/>
          <w:color w:val="000000" w:themeColor="text1"/>
        </w:rPr>
        <w:t xml:space="preserve"> d’état de surface. </w:t>
      </w:r>
      <w:r w:rsidRPr="00C77DBE">
        <w:rPr>
          <w:rFonts w:ascii="Arial" w:hAnsi="Arial"/>
          <w:color w:val="000000" w:themeColor="text1"/>
          <w:lang w:val="pt-BR"/>
        </w:rPr>
        <w:t xml:space="preserve">La conception innovante du système REVO maximise les capacités de contrôle des MMT grâce à une technologie de mesure 5 axes brevetée. </w:t>
      </w:r>
    </w:p>
    <w:p w14:paraId="484883F9" w14:textId="77777777" w:rsidR="00C77DBE" w:rsidRPr="00C77DBE" w:rsidRDefault="00C77DBE" w:rsidP="00C77DBE">
      <w:pPr>
        <w:spacing w:line="336" w:lineRule="auto"/>
        <w:ind w:right="-554"/>
        <w:rPr>
          <w:rFonts w:ascii="Arial" w:eastAsia="Arial" w:hAnsi="Arial" w:cs="Arial"/>
          <w:color w:val="000000" w:themeColor="text1"/>
          <w:lang w:val="pt-BR"/>
        </w:rPr>
      </w:pPr>
    </w:p>
    <w:p w14:paraId="31ECFDC5" w14:textId="77777777" w:rsidR="00C77DBE" w:rsidRDefault="00C77DBE" w:rsidP="00C77DBE">
      <w:pPr>
        <w:spacing w:line="336" w:lineRule="auto"/>
        <w:ind w:right="-554"/>
        <w:rPr>
          <w:rFonts w:ascii="Arial" w:hAnsi="Arial"/>
          <w:color w:val="000000" w:themeColor="text1"/>
          <w:lang w:val="pt-BR"/>
        </w:rPr>
      </w:pPr>
      <w:r w:rsidRPr="00C77DBE">
        <w:rPr>
          <w:rFonts w:ascii="Arial" w:hAnsi="Arial"/>
          <w:color w:val="000000" w:themeColor="text1"/>
          <w:lang w:val="pt-BR"/>
        </w:rPr>
        <w:t xml:space="preserve">En intégrant plusieurs palpeurs sur une seule et même machine MMT, le système REVO permet aux fabricants d’augmenter considérablement leur productivité et d’éliminer le besoin d’avoir recours à d’autres équipements de contrôle dédiés. Reposant sur une seule machine, cette solution permet d’éviter les retards et les risques de dommages liés au transfert des pièces entre plusieurs postes de contrôle. La réduction de la manutention et du déplacement des pièces minimise les </w:t>
      </w:r>
      <w:bookmarkStart w:id="0" w:name="_Int_jbtvpVPL"/>
      <w:r w:rsidRPr="00C77DBE">
        <w:rPr>
          <w:rFonts w:ascii="Arial" w:hAnsi="Arial"/>
          <w:color w:val="000000" w:themeColor="text1"/>
          <w:lang w:val="pt-BR"/>
        </w:rPr>
        <w:t>rebuts</w:t>
      </w:r>
      <w:bookmarkEnd w:id="0"/>
      <w:r w:rsidRPr="00C77DBE">
        <w:rPr>
          <w:rFonts w:ascii="Arial" w:hAnsi="Arial"/>
          <w:color w:val="000000" w:themeColor="text1"/>
          <w:lang w:val="pt-BR"/>
        </w:rPr>
        <w:t>, et optimise l’agencement de l’atelier, ce qui se traduit par une baisse de la consommation d’énergie.</w:t>
      </w:r>
    </w:p>
    <w:p w14:paraId="75728F6F" w14:textId="77777777" w:rsidR="00C77DBE" w:rsidRPr="00C77DBE" w:rsidRDefault="00C77DBE" w:rsidP="00C77DBE">
      <w:pPr>
        <w:spacing w:line="336" w:lineRule="auto"/>
        <w:ind w:right="-554"/>
        <w:rPr>
          <w:rFonts w:ascii="Arial" w:eastAsia="Arial" w:hAnsi="Arial" w:cs="Arial"/>
          <w:color w:val="000000" w:themeColor="text1"/>
          <w:lang w:val="pt-BR"/>
        </w:rPr>
      </w:pPr>
    </w:p>
    <w:p w14:paraId="6BD02E07" w14:textId="77777777" w:rsidR="00C77DBE" w:rsidRDefault="00C77DBE" w:rsidP="00C77DBE">
      <w:pPr>
        <w:spacing w:line="336" w:lineRule="auto"/>
        <w:ind w:right="-554"/>
        <w:rPr>
          <w:rFonts w:ascii="Arial" w:hAnsi="Arial"/>
          <w:color w:val="000000" w:themeColor="text1"/>
          <w:lang w:val="pt-BR"/>
        </w:rPr>
      </w:pPr>
      <w:r w:rsidRPr="00C77DBE">
        <w:rPr>
          <w:rFonts w:ascii="Arial" w:hAnsi="Arial"/>
          <w:color w:val="000000" w:themeColor="text1"/>
          <w:lang w:val="pt-BR"/>
        </w:rPr>
        <w:t xml:space="preserve">La technologie 5 axes du système REVO offre une solution de contrôle à l’épreuve du temps aux fabricants des secteurs de l’aérospatiale, de l’automobile, de la </w:t>
      </w:r>
      <w:bookmarkStart w:id="1" w:name="_Int_AhvVN5K1"/>
      <w:r w:rsidRPr="00C77DBE">
        <w:rPr>
          <w:rFonts w:ascii="Arial" w:hAnsi="Arial"/>
          <w:color w:val="000000" w:themeColor="text1"/>
          <w:lang w:val="pt-BR"/>
        </w:rPr>
        <w:t>médecine</w:t>
      </w:r>
      <w:bookmarkEnd w:id="1"/>
      <w:r w:rsidRPr="00C77DBE">
        <w:rPr>
          <w:rFonts w:ascii="Arial" w:hAnsi="Arial"/>
          <w:color w:val="000000" w:themeColor="text1"/>
          <w:lang w:val="pt-BR"/>
        </w:rPr>
        <w:t xml:space="preserve"> et d’autres industries. La synchronisation des mouvements trois axes de la MMT et des deux axes de la tête de mesure, minimise les erreurs dynamiques de la MMT à des vitesses de mesure très élevées. Elle permet également d’accéder aux entités des pièces hors de portée des systèmes traditionnels à 3 axes. Le système REVO permet donc de réduire considérablement le temps des cycles de contrôle, d’améliorer les </w:t>
      </w:r>
      <w:bookmarkStart w:id="2" w:name="_Int_XslyYGiS"/>
      <w:r w:rsidRPr="00C77DBE">
        <w:rPr>
          <w:rFonts w:ascii="Arial" w:hAnsi="Arial"/>
          <w:color w:val="000000" w:themeColor="text1"/>
          <w:lang w:val="pt-BR"/>
        </w:rPr>
        <w:t>cadences</w:t>
      </w:r>
      <w:bookmarkEnd w:id="2"/>
      <w:r w:rsidRPr="00C77DBE">
        <w:rPr>
          <w:rFonts w:ascii="Arial" w:hAnsi="Arial"/>
          <w:color w:val="000000" w:themeColor="text1"/>
          <w:lang w:val="pt-BR"/>
        </w:rPr>
        <w:t xml:space="preserve"> et de garantir la qualité des pièces. </w:t>
      </w:r>
    </w:p>
    <w:p w14:paraId="544E469F" w14:textId="77777777" w:rsidR="00C77DBE" w:rsidRPr="00C77DBE" w:rsidRDefault="00C77DBE" w:rsidP="00C77DBE">
      <w:pPr>
        <w:spacing w:line="336" w:lineRule="auto"/>
        <w:ind w:right="-554"/>
        <w:rPr>
          <w:rFonts w:ascii="Arial" w:eastAsia="Arial" w:hAnsi="Arial" w:cs="Arial"/>
          <w:color w:val="000000" w:themeColor="text1"/>
          <w:lang w:val="pt-BR"/>
        </w:rPr>
      </w:pPr>
    </w:p>
    <w:p w14:paraId="2C82BCFA" w14:textId="77777777" w:rsidR="00C77DBE" w:rsidRDefault="00C77DBE" w:rsidP="00C77DBE">
      <w:pPr>
        <w:spacing w:line="336" w:lineRule="auto"/>
        <w:ind w:right="-554"/>
        <w:rPr>
          <w:rFonts w:ascii="Arial" w:hAnsi="Arial"/>
          <w:color w:val="000000" w:themeColor="text1"/>
          <w:lang w:val="pt-BR"/>
        </w:rPr>
      </w:pPr>
      <w:r w:rsidRPr="00C77DBE">
        <w:rPr>
          <w:rFonts w:ascii="Arial" w:hAnsi="Arial"/>
          <w:color w:val="000000" w:themeColor="text1"/>
          <w:lang w:val="pt-BR"/>
        </w:rPr>
        <w:t>En outre, la capacité de contrôle accrue permet aux fabricants d’améliorer leurs conceptions et de fabriquer des pièces plus complexes. Cette souplesse de contrôle permet de fabriquer des produits plus efficaces, plus performants et plus durables tout au long de la chaîne d’approvisionnement jusqu’au consommateur, comme c’est le cas pour les véhicules électriques (EV) et l’électronique grand public de pointe.</w:t>
      </w:r>
    </w:p>
    <w:p w14:paraId="01533320" w14:textId="77777777" w:rsidR="00C77DBE" w:rsidRPr="00C77DBE" w:rsidRDefault="00C77DBE" w:rsidP="00C77DBE">
      <w:pPr>
        <w:spacing w:line="336" w:lineRule="auto"/>
        <w:ind w:right="-554"/>
        <w:rPr>
          <w:rFonts w:ascii="Arial" w:eastAsia="Arial" w:hAnsi="Arial" w:cs="Arial"/>
          <w:color w:val="000000" w:themeColor="text1"/>
          <w:lang w:val="pt-BR"/>
        </w:rPr>
      </w:pPr>
    </w:p>
    <w:p w14:paraId="2E98952B" w14:textId="77777777" w:rsidR="00C77DBE" w:rsidRDefault="00C77DBE" w:rsidP="00C77DBE">
      <w:pPr>
        <w:spacing w:line="336" w:lineRule="auto"/>
        <w:ind w:right="-554"/>
        <w:rPr>
          <w:rFonts w:ascii="Arial" w:hAnsi="Arial"/>
          <w:b/>
          <w:color w:val="000000" w:themeColor="text1"/>
          <w:lang w:val="pt-BR"/>
        </w:rPr>
      </w:pPr>
      <w:r w:rsidRPr="00C77DBE">
        <w:rPr>
          <w:rFonts w:ascii="Arial" w:hAnsi="Arial"/>
          <w:b/>
          <w:color w:val="000000" w:themeColor="text1"/>
          <w:lang w:val="pt-BR"/>
        </w:rPr>
        <w:t>Contrôle qualité dans l’atelier</w:t>
      </w:r>
    </w:p>
    <w:p w14:paraId="07847109" w14:textId="77777777" w:rsidR="00C77DBE" w:rsidRPr="00C77DBE" w:rsidRDefault="00C77DBE" w:rsidP="00C77DBE">
      <w:pPr>
        <w:spacing w:line="336" w:lineRule="auto"/>
        <w:ind w:right="-554"/>
        <w:rPr>
          <w:rFonts w:ascii="Arial" w:eastAsia="Arial" w:hAnsi="Arial" w:cs="Arial"/>
          <w:b/>
          <w:bCs/>
          <w:color w:val="000000" w:themeColor="text1"/>
          <w:lang w:val="pt-BR"/>
        </w:rPr>
      </w:pPr>
    </w:p>
    <w:p w14:paraId="2E9F5E00" w14:textId="77777777" w:rsidR="00C77DBE" w:rsidRPr="00C77DBE" w:rsidRDefault="00C77DBE" w:rsidP="00C77DBE">
      <w:pPr>
        <w:spacing w:line="336" w:lineRule="auto"/>
        <w:ind w:right="-554"/>
        <w:rPr>
          <w:rFonts w:ascii="Arial" w:eastAsia="Arial" w:hAnsi="Arial" w:cs="Arial"/>
          <w:color w:val="000000" w:themeColor="text1"/>
          <w:lang w:val="pt-BR"/>
        </w:rPr>
      </w:pPr>
      <w:r w:rsidRPr="00C77DBE">
        <w:rPr>
          <w:rFonts w:ascii="Arial" w:hAnsi="Arial"/>
          <w:color w:val="000000" w:themeColor="text1"/>
          <w:lang w:val="pt-BR"/>
        </w:rPr>
        <w:t xml:space="preserve">Le contrôle qualité évolue, passant de simples contrôles indirects à un investissement en temps beaucoup plus précieux, où les données sont utilisées pour affiner activement les limites de contrôle des procédés. La </w:t>
      </w:r>
      <w:r w:rsidRPr="00C77DBE">
        <w:rPr>
          <w:rFonts w:ascii="Arial" w:hAnsi="Arial"/>
          <w:color w:val="000000" w:themeColor="text1"/>
          <w:lang w:val="pt-BR"/>
        </w:rPr>
        <w:lastRenderedPageBreak/>
        <w:t xml:space="preserve">possibilité pour les équipements de contrôle de fonctionner à proximité des machines de fabrication dans un environnement d’atelier automatisé, permet non seulement de réduire les kilomètres parcourus par les pièces en usine, mais aussi de procéder à des ajustements en temps réel. Les technologies d’inspection 5 axes, souples et flexibles, constituent un outil puissant qui peut être réutilisé de façon répétée pour chaque </w:t>
      </w:r>
      <w:bookmarkStart w:id="3" w:name="_Int_IbXJHDpQ"/>
      <w:r w:rsidRPr="00C77DBE">
        <w:rPr>
          <w:rFonts w:ascii="Arial" w:hAnsi="Arial"/>
          <w:color w:val="000000" w:themeColor="text1"/>
          <w:lang w:val="pt-BR"/>
        </w:rPr>
        <w:t>nouvelle conception</w:t>
      </w:r>
      <w:bookmarkEnd w:id="3"/>
      <w:r w:rsidRPr="00C77DBE">
        <w:rPr>
          <w:rFonts w:ascii="Arial" w:hAnsi="Arial"/>
          <w:color w:val="000000" w:themeColor="text1"/>
          <w:lang w:val="pt-BR"/>
        </w:rPr>
        <w:t xml:space="preserve"> ou nouveau produit.</w:t>
      </w:r>
    </w:p>
    <w:p w14:paraId="32E5F580" w14:textId="77777777" w:rsidR="00C77DBE" w:rsidRDefault="00C77DBE" w:rsidP="00C77DBE">
      <w:pPr>
        <w:spacing w:line="336" w:lineRule="auto"/>
        <w:ind w:right="-554"/>
        <w:rPr>
          <w:rFonts w:ascii="Arial" w:eastAsia="Arial" w:hAnsi="Arial" w:cs="Arial"/>
          <w:color w:val="000000" w:themeColor="text1"/>
        </w:rPr>
      </w:pPr>
      <w:r>
        <w:rPr>
          <w:rFonts w:ascii="Arial" w:hAnsi="Arial"/>
          <w:color w:val="000000" w:themeColor="text1"/>
        </w:rPr>
        <w:t xml:space="preserve">Le </w:t>
      </w:r>
      <w:proofErr w:type="spellStart"/>
      <w:r>
        <w:rPr>
          <w:rFonts w:ascii="Arial" w:hAnsi="Arial"/>
          <w:color w:val="000000" w:themeColor="text1"/>
        </w:rPr>
        <w:t>système</w:t>
      </w:r>
      <w:proofErr w:type="spellEnd"/>
      <w:r>
        <w:rPr>
          <w:rFonts w:ascii="Arial" w:hAnsi="Arial"/>
          <w:color w:val="000000" w:themeColor="text1"/>
        </w:rPr>
        <w:t xml:space="preserve"> REVO </w:t>
      </w:r>
      <w:proofErr w:type="spellStart"/>
      <w:r>
        <w:rPr>
          <w:rFonts w:ascii="Arial" w:hAnsi="Arial"/>
          <w:color w:val="000000" w:themeColor="text1"/>
        </w:rPr>
        <w:t>joue</w:t>
      </w:r>
      <w:proofErr w:type="spellEnd"/>
      <w:r>
        <w:rPr>
          <w:rFonts w:ascii="Arial" w:hAnsi="Arial"/>
          <w:color w:val="000000" w:themeColor="text1"/>
        </w:rPr>
        <w:t xml:space="preserve"> un </w:t>
      </w:r>
      <w:proofErr w:type="spellStart"/>
      <w:r>
        <w:rPr>
          <w:rFonts w:ascii="Arial" w:hAnsi="Arial"/>
          <w:color w:val="000000" w:themeColor="text1"/>
        </w:rPr>
        <w:t>rôle</w:t>
      </w:r>
      <w:proofErr w:type="spellEnd"/>
      <w:r>
        <w:rPr>
          <w:rFonts w:ascii="Arial" w:hAnsi="Arial"/>
          <w:color w:val="000000" w:themeColor="text1"/>
        </w:rPr>
        <w:t xml:space="preserve"> </w:t>
      </w:r>
      <w:proofErr w:type="spellStart"/>
      <w:r>
        <w:rPr>
          <w:rFonts w:ascii="Arial" w:hAnsi="Arial"/>
          <w:color w:val="000000" w:themeColor="text1"/>
        </w:rPr>
        <w:t>essentiel</w:t>
      </w:r>
      <w:proofErr w:type="spellEnd"/>
      <w:r>
        <w:rPr>
          <w:rFonts w:ascii="Arial" w:hAnsi="Arial"/>
          <w:color w:val="000000" w:themeColor="text1"/>
        </w:rPr>
        <w:t xml:space="preserve"> dans la mise </w:t>
      </w:r>
      <w:proofErr w:type="spellStart"/>
      <w:r>
        <w:rPr>
          <w:rFonts w:ascii="Arial" w:hAnsi="Arial"/>
          <w:color w:val="000000" w:themeColor="text1"/>
        </w:rPr>
        <w:t>en</w:t>
      </w:r>
      <w:proofErr w:type="spellEnd"/>
      <w:r>
        <w:rPr>
          <w:rFonts w:ascii="Arial" w:hAnsi="Arial"/>
          <w:color w:val="000000" w:themeColor="text1"/>
        </w:rPr>
        <w:t xml:space="preserve"> </w:t>
      </w:r>
      <w:proofErr w:type="spellStart"/>
      <w:r>
        <w:rPr>
          <w:rFonts w:ascii="Arial" w:hAnsi="Arial"/>
          <w:color w:val="000000" w:themeColor="text1"/>
        </w:rPr>
        <w:t>œuvre</w:t>
      </w:r>
      <w:proofErr w:type="spellEnd"/>
      <w:r>
        <w:rPr>
          <w:rFonts w:ascii="Arial" w:hAnsi="Arial"/>
          <w:color w:val="000000" w:themeColor="text1"/>
        </w:rPr>
        <w:t xml:space="preserve"> de </w:t>
      </w:r>
      <w:proofErr w:type="spellStart"/>
      <w:r>
        <w:rPr>
          <w:rFonts w:ascii="Arial" w:hAnsi="Arial"/>
          <w:color w:val="000000" w:themeColor="text1"/>
        </w:rPr>
        <w:t>ce</w:t>
      </w:r>
      <w:proofErr w:type="spellEnd"/>
      <w:r>
        <w:rPr>
          <w:rFonts w:ascii="Arial" w:hAnsi="Arial"/>
          <w:color w:val="000000" w:themeColor="text1"/>
        </w:rPr>
        <w:t xml:space="preserve"> mode de pensée </w:t>
      </w:r>
      <w:proofErr w:type="spellStart"/>
      <w:r>
        <w:rPr>
          <w:rFonts w:ascii="Arial" w:hAnsi="Arial"/>
          <w:color w:val="000000" w:themeColor="text1"/>
        </w:rPr>
        <w:t>novateur</w:t>
      </w:r>
      <w:proofErr w:type="spellEnd"/>
      <w:r>
        <w:rPr>
          <w:rFonts w:ascii="Arial" w:hAnsi="Arial"/>
          <w:color w:val="000000" w:themeColor="text1"/>
        </w:rPr>
        <w:t xml:space="preserve"> </w:t>
      </w:r>
      <w:proofErr w:type="spellStart"/>
      <w:r>
        <w:rPr>
          <w:rFonts w:ascii="Arial" w:hAnsi="Arial"/>
          <w:color w:val="000000" w:themeColor="text1"/>
        </w:rPr>
        <w:t>en</w:t>
      </w:r>
      <w:proofErr w:type="spellEnd"/>
      <w:r>
        <w:rPr>
          <w:rFonts w:ascii="Arial" w:hAnsi="Arial"/>
          <w:color w:val="000000" w:themeColor="text1"/>
        </w:rPr>
        <w:t xml:space="preserve"> atelier et </w:t>
      </w:r>
      <w:proofErr w:type="spellStart"/>
      <w:r>
        <w:rPr>
          <w:rFonts w:ascii="Arial" w:hAnsi="Arial"/>
          <w:color w:val="000000" w:themeColor="text1"/>
        </w:rPr>
        <w:t>peut</w:t>
      </w:r>
      <w:proofErr w:type="spellEnd"/>
      <w:r>
        <w:rPr>
          <w:rFonts w:ascii="Arial" w:hAnsi="Arial"/>
          <w:color w:val="000000" w:themeColor="text1"/>
        </w:rPr>
        <w:t xml:space="preserve"> faire </w:t>
      </w:r>
      <w:proofErr w:type="spellStart"/>
      <w:r>
        <w:rPr>
          <w:rFonts w:ascii="Arial" w:hAnsi="Arial"/>
          <w:color w:val="000000" w:themeColor="text1"/>
        </w:rPr>
        <w:t>partie</w:t>
      </w:r>
      <w:proofErr w:type="spellEnd"/>
      <w:r>
        <w:rPr>
          <w:rFonts w:ascii="Arial" w:hAnsi="Arial"/>
          <w:color w:val="000000" w:themeColor="text1"/>
        </w:rPr>
        <w:t xml:space="preserve"> </w:t>
      </w:r>
      <w:proofErr w:type="spellStart"/>
      <w:r>
        <w:rPr>
          <w:rFonts w:ascii="Arial" w:hAnsi="Arial"/>
          <w:color w:val="000000" w:themeColor="text1"/>
        </w:rPr>
        <w:t>intégrante</w:t>
      </w:r>
      <w:proofErr w:type="spellEnd"/>
      <w:r>
        <w:rPr>
          <w:rFonts w:ascii="Arial" w:hAnsi="Arial"/>
          <w:color w:val="000000" w:themeColor="text1"/>
        </w:rPr>
        <w:t xml:space="preserve"> de la </w:t>
      </w:r>
      <w:proofErr w:type="spellStart"/>
      <w:r>
        <w:rPr>
          <w:rFonts w:ascii="Arial" w:hAnsi="Arial"/>
          <w:color w:val="000000" w:themeColor="text1"/>
        </w:rPr>
        <w:t>création</w:t>
      </w:r>
      <w:proofErr w:type="spellEnd"/>
      <w:r>
        <w:rPr>
          <w:rFonts w:ascii="Arial" w:hAnsi="Arial"/>
          <w:color w:val="000000" w:themeColor="text1"/>
        </w:rPr>
        <w:t xml:space="preserve"> d’un </w:t>
      </w:r>
      <w:proofErr w:type="spellStart"/>
      <w:r>
        <w:rPr>
          <w:rFonts w:ascii="Arial" w:hAnsi="Arial"/>
          <w:color w:val="000000" w:themeColor="text1"/>
        </w:rPr>
        <w:t>procédé</w:t>
      </w:r>
      <w:proofErr w:type="spellEnd"/>
      <w:r>
        <w:rPr>
          <w:rFonts w:ascii="Arial" w:hAnsi="Arial"/>
          <w:color w:val="000000" w:themeColor="text1"/>
        </w:rPr>
        <w:t xml:space="preserve"> de fabrication plus </w:t>
      </w:r>
      <w:proofErr w:type="spellStart"/>
      <w:r>
        <w:rPr>
          <w:rFonts w:ascii="Arial" w:hAnsi="Arial"/>
          <w:color w:val="000000" w:themeColor="text1"/>
        </w:rPr>
        <w:t>rationalisé</w:t>
      </w:r>
      <w:proofErr w:type="spellEnd"/>
      <w:r>
        <w:rPr>
          <w:rFonts w:ascii="Arial" w:hAnsi="Arial"/>
          <w:color w:val="000000" w:themeColor="text1"/>
        </w:rPr>
        <w:t xml:space="preserve">, plus </w:t>
      </w:r>
      <w:bookmarkStart w:id="4" w:name="_Int_t0fH5LTK"/>
      <w:proofErr w:type="spellStart"/>
      <w:r>
        <w:rPr>
          <w:rFonts w:ascii="Arial" w:hAnsi="Arial"/>
          <w:color w:val="000000" w:themeColor="text1"/>
        </w:rPr>
        <w:t>efficace</w:t>
      </w:r>
      <w:bookmarkEnd w:id="4"/>
      <w:proofErr w:type="spellEnd"/>
      <w:r>
        <w:rPr>
          <w:rFonts w:ascii="Arial" w:hAnsi="Arial"/>
          <w:color w:val="000000" w:themeColor="text1"/>
        </w:rPr>
        <w:t xml:space="preserve"> et plus rentable.</w:t>
      </w:r>
    </w:p>
    <w:p w14:paraId="3B07FEA0" w14:textId="77777777" w:rsidR="00C77DBE" w:rsidRDefault="00C77DBE" w:rsidP="00C77DBE">
      <w:pPr>
        <w:spacing w:line="336" w:lineRule="auto"/>
        <w:ind w:right="-554"/>
        <w:rPr>
          <w:rFonts w:ascii="Arial" w:hAnsi="Arial"/>
        </w:rPr>
      </w:pPr>
      <w:r>
        <w:rPr>
          <w:rFonts w:ascii="Arial" w:hAnsi="Arial"/>
        </w:rPr>
        <w:t>« </w:t>
      </w:r>
      <w:proofErr w:type="spellStart"/>
      <w:r>
        <w:rPr>
          <w:rFonts w:ascii="Arial" w:hAnsi="Arial"/>
        </w:rPr>
        <w:t>Aujourd’hui</w:t>
      </w:r>
      <w:proofErr w:type="spellEnd"/>
      <w:r>
        <w:rPr>
          <w:rFonts w:ascii="Arial" w:hAnsi="Arial"/>
        </w:rPr>
        <w:t xml:space="preserve">, les fabricants </w:t>
      </w:r>
      <w:proofErr w:type="spellStart"/>
      <w:r>
        <w:rPr>
          <w:rFonts w:ascii="Arial" w:hAnsi="Arial"/>
        </w:rPr>
        <w:t>tirent</w:t>
      </w:r>
      <w:proofErr w:type="spellEnd"/>
      <w:r>
        <w:rPr>
          <w:rFonts w:ascii="Arial" w:hAnsi="Arial"/>
        </w:rPr>
        <w:t xml:space="preserve"> </w:t>
      </w:r>
      <w:proofErr w:type="spellStart"/>
      <w:r>
        <w:rPr>
          <w:rFonts w:ascii="Arial" w:hAnsi="Arial"/>
        </w:rPr>
        <w:t>pleinement</w:t>
      </w:r>
      <w:proofErr w:type="spellEnd"/>
      <w:r>
        <w:rPr>
          <w:rFonts w:ascii="Arial" w:hAnsi="Arial"/>
        </w:rPr>
        <w:t xml:space="preserve"> parti des </w:t>
      </w:r>
      <w:proofErr w:type="spellStart"/>
      <w:r>
        <w:rPr>
          <w:rFonts w:ascii="Arial" w:hAnsi="Arial"/>
        </w:rPr>
        <w:t>nombreux</w:t>
      </w:r>
      <w:proofErr w:type="spellEnd"/>
      <w:r>
        <w:rPr>
          <w:rFonts w:ascii="Arial" w:hAnsi="Arial"/>
        </w:rPr>
        <w:t xml:space="preserve"> </w:t>
      </w:r>
      <w:proofErr w:type="spellStart"/>
      <w:r>
        <w:rPr>
          <w:rFonts w:ascii="Arial" w:hAnsi="Arial"/>
        </w:rPr>
        <w:t>avantages</w:t>
      </w:r>
      <w:proofErr w:type="spellEnd"/>
      <w:r>
        <w:rPr>
          <w:rFonts w:ascii="Arial" w:hAnsi="Arial"/>
        </w:rPr>
        <w:t xml:space="preserve"> </w:t>
      </w:r>
      <w:proofErr w:type="spellStart"/>
      <w:r>
        <w:rPr>
          <w:rFonts w:ascii="Arial" w:hAnsi="Arial"/>
        </w:rPr>
        <w:t>offerts</w:t>
      </w:r>
      <w:proofErr w:type="spellEnd"/>
      <w:r>
        <w:rPr>
          <w:rFonts w:ascii="Arial" w:hAnsi="Arial"/>
        </w:rPr>
        <w:t xml:space="preserve"> par les technologies de </w:t>
      </w:r>
      <w:proofErr w:type="spellStart"/>
      <w:r>
        <w:rPr>
          <w:rFonts w:ascii="Arial" w:hAnsi="Arial"/>
        </w:rPr>
        <w:t>contrôle</w:t>
      </w:r>
      <w:proofErr w:type="spellEnd"/>
      <w:r>
        <w:rPr>
          <w:rFonts w:ascii="Arial" w:hAnsi="Arial"/>
        </w:rPr>
        <w:t xml:space="preserve"> 5 axes du </w:t>
      </w:r>
      <w:proofErr w:type="spellStart"/>
      <w:r>
        <w:rPr>
          <w:rFonts w:ascii="Arial" w:hAnsi="Arial"/>
        </w:rPr>
        <w:t>système</w:t>
      </w:r>
      <w:proofErr w:type="spellEnd"/>
      <w:r>
        <w:rPr>
          <w:rFonts w:ascii="Arial" w:hAnsi="Arial"/>
        </w:rPr>
        <w:t xml:space="preserve"> REVO. </w:t>
      </w:r>
      <w:proofErr w:type="spellStart"/>
      <w:r>
        <w:rPr>
          <w:rFonts w:ascii="Arial" w:hAnsi="Arial"/>
        </w:rPr>
        <w:t>Cela</w:t>
      </w:r>
      <w:proofErr w:type="spellEnd"/>
      <w:r>
        <w:rPr>
          <w:rFonts w:ascii="Arial" w:hAnsi="Arial"/>
        </w:rPr>
        <w:t xml:space="preserve"> </w:t>
      </w:r>
      <w:proofErr w:type="spellStart"/>
      <w:r>
        <w:rPr>
          <w:rFonts w:ascii="Arial" w:hAnsi="Arial"/>
        </w:rPr>
        <w:t>va</w:t>
      </w:r>
      <w:proofErr w:type="spellEnd"/>
      <w:r>
        <w:rPr>
          <w:rFonts w:ascii="Arial" w:hAnsi="Arial"/>
        </w:rPr>
        <w:t xml:space="preserve"> des cadences ultra-</w:t>
      </w:r>
      <w:proofErr w:type="spellStart"/>
      <w:r>
        <w:rPr>
          <w:rFonts w:ascii="Arial" w:hAnsi="Arial"/>
        </w:rPr>
        <w:t>rapides</w:t>
      </w:r>
      <w:proofErr w:type="spellEnd"/>
      <w:r>
        <w:rPr>
          <w:rFonts w:ascii="Arial" w:hAnsi="Arial"/>
        </w:rPr>
        <w:t xml:space="preserve"> avec </w:t>
      </w:r>
      <w:proofErr w:type="spellStart"/>
      <w:r>
        <w:rPr>
          <w:rFonts w:ascii="Arial" w:hAnsi="Arial"/>
        </w:rPr>
        <w:t>réglages</w:t>
      </w:r>
      <w:proofErr w:type="spellEnd"/>
      <w:r>
        <w:rPr>
          <w:rFonts w:ascii="Arial" w:hAnsi="Arial"/>
        </w:rPr>
        <w:t xml:space="preserve"> </w:t>
      </w:r>
      <w:proofErr w:type="spellStart"/>
      <w:r>
        <w:rPr>
          <w:rFonts w:ascii="Arial" w:hAnsi="Arial"/>
        </w:rPr>
        <w:t>automatiques</w:t>
      </w:r>
      <w:proofErr w:type="spellEnd"/>
      <w:r>
        <w:rPr>
          <w:rFonts w:ascii="Arial" w:hAnsi="Arial"/>
        </w:rPr>
        <w:t xml:space="preserve"> des machines-</w:t>
      </w:r>
      <w:proofErr w:type="spellStart"/>
      <w:r>
        <w:rPr>
          <w:rFonts w:ascii="Arial" w:hAnsi="Arial"/>
        </w:rPr>
        <w:t>outils</w:t>
      </w:r>
      <w:proofErr w:type="spellEnd"/>
      <w:r>
        <w:rPr>
          <w:rFonts w:ascii="Arial" w:hAnsi="Arial"/>
        </w:rPr>
        <w:t xml:space="preserve"> à la </w:t>
      </w:r>
      <w:proofErr w:type="spellStart"/>
      <w:r>
        <w:rPr>
          <w:rFonts w:ascii="Arial" w:hAnsi="Arial"/>
        </w:rPr>
        <w:t>flexibilité</w:t>
      </w:r>
      <w:proofErr w:type="spellEnd"/>
      <w:r>
        <w:rPr>
          <w:rFonts w:ascii="Arial" w:hAnsi="Arial"/>
        </w:rPr>
        <w:t xml:space="preserve"> </w:t>
      </w:r>
      <w:proofErr w:type="spellStart"/>
      <w:r>
        <w:rPr>
          <w:rFonts w:ascii="Arial" w:hAnsi="Arial"/>
        </w:rPr>
        <w:t>d’effectuer</w:t>
      </w:r>
      <w:proofErr w:type="spellEnd"/>
      <w:r>
        <w:rPr>
          <w:rFonts w:ascii="Arial" w:hAnsi="Arial"/>
        </w:rPr>
        <w:t xml:space="preserve"> </w:t>
      </w:r>
      <w:proofErr w:type="spellStart"/>
      <w:r>
        <w:rPr>
          <w:rFonts w:ascii="Arial" w:hAnsi="Arial"/>
        </w:rPr>
        <w:t>plusieurs</w:t>
      </w:r>
      <w:proofErr w:type="spellEnd"/>
      <w:r>
        <w:rPr>
          <w:rFonts w:ascii="Arial" w:hAnsi="Arial"/>
        </w:rPr>
        <w:t xml:space="preserve"> </w:t>
      </w:r>
      <w:proofErr w:type="spellStart"/>
      <w:r>
        <w:rPr>
          <w:rFonts w:ascii="Arial" w:hAnsi="Arial"/>
        </w:rPr>
        <w:t>tâches</w:t>
      </w:r>
      <w:proofErr w:type="spellEnd"/>
      <w:r>
        <w:rPr>
          <w:rFonts w:ascii="Arial" w:hAnsi="Arial"/>
        </w:rPr>
        <w:t xml:space="preserve"> de </w:t>
      </w:r>
      <w:proofErr w:type="spellStart"/>
      <w:r>
        <w:rPr>
          <w:rFonts w:ascii="Arial" w:hAnsi="Arial"/>
        </w:rPr>
        <w:t>contrôle</w:t>
      </w:r>
      <w:proofErr w:type="spellEnd"/>
      <w:r>
        <w:rPr>
          <w:rFonts w:ascii="Arial" w:hAnsi="Arial"/>
        </w:rPr>
        <w:t xml:space="preserve"> </w:t>
      </w:r>
      <w:proofErr w:type="spellStart"/>
      <w:r>
        <w:rPr>
          <w:rFonts w:ascii="Arial" w:hAnsi="Arial"/>
        </w:rPr>
        <w:t>différentes</w:t>
      </w:r>
      <w:proofErr w:type="spellEnd"/>
      <w:r>
        <w:rPr>
          <w:rFonts w:ascii="Arial" w:hAnsi="Arial"/>
        </w:rPr>
        <w:t xml:space="preserve">, y </w:t>
      </w:r>
      <w:proofErr w:type="spellStart"/>
      <w:r>
        <w:rPr>
          <w:rFonts w:ascii="Arial" w:hAnsi="Arial"/>
        </w:rPr>
        <w:t>compris</w:t>
      </w:r>
      <w:proofErr w:type="spellEnd"/>
      <w:r>
        <w:rPr>
          <w:rFonts w:ascii="Arial" w:hAnsi="Arial"/>
        </w:rPr>
        <w:t xml:space="preserve"> d’état de surface. Et tout </w:t>
      </w:r>
      <w:proofErr w:type="spellStart"/>
      <w:r>
        <w:rPr>
          <w:rFonts w:ascii="Arial" w:hAnsi="Arial"/>
        </w:rPr>
        <w:t>cela</w:t>
      </w:r>
      <w:proofErr w:type="spellEnd"/>
      <w:r>
        <w:rPr>
          <w:rFonts w:ascii="Arial" w:hAnsi="Arial"/>
        </w:rPr>
        <w:t xml:space="preserve"> avec </w:t>
      </w:r>
      <w:proofErr w:type="spellStart"/>
      <w:r>
        <w:rPr>
          <w:rFonts w:ascii="Arial" w:hAnsi="Arial"/>
        </w:rPr>
        <w:t>une</w:t>
      </w:r>
      <w:proofErr w:type="spellEnd"/>
      <w:r>
        <w:rPr>
          <w:rFonts w:ascii="Arial" w:hAnsi="Arial"/>
        </w:rPr>
        <w:t xml:space="preserve"> </w:t>
      </w:r>
      <w:proofErr w:type="spellStart"/>
      <w:r>
        <w:rPr>
          <w:rFonts w:ascii="Arial" w:hAnsi="Arial"/>
        </w:rPr>
        <w:t>seule</w:t>
      </w:r>
      <w:proofErr w:type="spellEnd"/>
      <w:r>
        <w:rPr>
          <w:rFonts w:ascii="Arial" w:hAnsi="Arial"/>
        </w:rPr>
        <w:t xml:space="preserve"> configuration de CN sur </w:t>
      </w:r>
      <w:proofErr w:type="spellStart"/>
      <w:r>
        <w:rPr>
          <w:rFonts w:ascii="Arial" w:hAnsi="Arial"/>
        </w:rPr>
        <w:t>une</w:t>
      </w:r>
      <w:proofErr w:type="spellEnd"/>
      <w:r>
        <w:rPr>
          <w:rFonts w:ascii="Arial" w:hAnsi="Arial"/>
        </w:rPr>
        <w:t xml:space="preserve"> MMT </w:t>
      </w:r>
      <w:proofErr w:type="spellStart"/>
      <w:r>
        <w:rPr>
          <w:rFonts w:ascii="Arial" w:hAnsi="Arial"/>
        </w:rPr>
        <w:t>en</w:t>
      </w:r>
      <w:proofErr w:type="spellEnd"/>
      <w:r>
        <w:rPr>
          <w:rFonts w:ascii="Arial" w:hAnsi="Arial"/>
        </w:rPr>
        <w:t xml:space="preserve"> atelier », </w:t>
      </w:r>
      <w:proofErr w:type="spellStart"/>
      <w:r>
        <w:rPr>
          <w:rFonts w:ascii="Arial" w:hAnsi="Arial"/>
        </w:rPr>
        <w:t>explique</w:t>
      </w:r>
      <w:proofErr w:type="spellEnd"/>
      <w:r>
        <w:rPr>
          <w:rFonts w:ascii="Arial" w:hAnsi="Arial"/>
        </w:rPr>
        <w:t xml:space="preserve"> Gareth Tomkinson, Business Development Manager de Renishaw pour le </w:t>
      </w:r>
      <w:proofErr w:type="spellStart"/>
      <w:r>
        <w:rPr>
          <w:rFonts w:ascii="Arial" w:hAnsi="Arial"/>
        </w:rPr>
        <w:t>Département</w:t>
      </w:r>
      <w:proofErr w:type="spellEnd"/>
      <w:r>
        <w:rPr>
          <w:rFonts w:ascii="Arial" w:hAnsi="Arial"/>
        </w:rPr>
        <w:t xml:space="preserve"> </w:t>
      </w:r>
      <w:proofErr w:type="spellStart"/>
      <w:r>
        <w:rPr>
          <w:rFonts w:ascii="Arial" w:hAnsi="Arial"/>
        </w:rPr>
        <w:t>Produits</w:t>
      </w:r>
      <w:proofErr w:type="spellEnd"/>
      <w:r>
        <w:rPr>
          <w:rFonts w:ascii="Arial" w:hAnsi="Arial"/>
        </w:rPr>
        <w:t xml:space="preserve"> de </w:t>
      </w:r>
      <w:proofErr w:type="spellStart"/>
      <w:r>
        <w:rPr>
          <w:rFonts w:ascii="Arial" w:hAnsi="Arial"/>
        </w:rPr>
        <w:t>comparaison</w:t>
      </w:r>
      <w:proofErr w:type="spellEnd"/>
      <w:r>
        <w:rPr>
          <w:rFonts w:ascii="Arial" w:hAnsi="Arial"/>
        </w:rPr>
        <w:t xml:space="preserve"> et MMT.</w:t>
      </w:r>
    </w:p>
    <w:p w14:paraId="2266AF2B" w14:textId="77777777" w:rsidR="00C77DBE" w:rsidRDefault="00C77DBE" w:rsidP="00C77DBE">
      <w:pPr>
        <w:spacing w:line="336" w:lineRule="auto"/>
        <w:ind w:right="-554"/>
        <w:rPr>
          <w:rFonts w:ascii="Arial" w:eastAsia="Arial" w:hAnsi="Arial" w:cs="Arial"/>
        </w:rPr>
      </w:pPr>
    </w:p>
    <w:p w14:paraId="3CC012C5" w14:textId="77777777" w:rsidR="00C77DBE" w:rsidRDefault="00C77DBE" w:rsidP="00C77DBE">
      <w:pPr>
        <w:spacing w:line="336" w:lineRule="auto"/>
        <w:ind w:right="-554"/>
        <w:rPr>
          <w:rFonts w:ascii="Arial" w:hAnsi="Arial"/>
          <w:b/>
          <w:color w:val="000000" w:themeColor="text1"/>
          <w:vertAlign w:val="superscript"/>
          <w:lang w:val="pt-BR"/>
        </w:rPr>
      </w:pPr>
      <w:r w:rsidRPr="00C77DBE">
        <w:rPr>
          <w:rFonts w:ascii="Arial" w:hAnsi="Arial"/>
          <w:b/>
          <w:color w:val="000000" w:themeColor="text1"/>
          <w:lang w:val="pt-BR"/>
        </w:rPr>
        <w:t>Logiciel de métrologie MODUS™ pour systèmes 5 axes REVO</w:t>
      </w:r>
      <w:r w:rsidRPr="00C77DBE">
        <w:rPr>
          <w:rFonts w:ascii="Arial" w:hAnsi="Arial"/>
          <w:b/>
          <w:color w:val="000000" w:themeColor="text1"/>
          <w:vertAlign w:val="superscript"/>
          <w:lang w:val="pt-BR"/>
        </w:rPr>
        <w:t>®</w:t>
      </w:r>
    </w:p>
    <w:p w14:paraId="2D5231DD" w14:textId="77777777" w:rsidR="00C77DBE" w:rsidRPr="00C77DBE" w:rsidRDefault="00C77DBE" w:rsidP="00C77DBE">
      <w:pPr>
        <w:spacing w:line="336" w:lineRule="auto"/>
        <w:ind w:right="-554"/>
        <w:rPr>
          <w:rFonts w:ascii="Arial" w:eastAsia="Arial" w:hAnsi="Arial" w:cs="Arial"/>
          <w:b/>
          <w:bCs/>
          <w:color w:val="000000" w:themeColor="text1"/>
          <w:lang w:val="pt-BR"/>
        </w:rPr>
      </w:pPr>
    </w:p>
    <w:p w14:paraId="2F9CF6D2" w14:textId="77777777" w:rsidR="00C77DBE" w:rsidRDefault="00C77DBE" w:rsidP="00C77DBE">
      <w:pPr>
        <w:spacing w:line="336" w:lineRule="auto"/>
        <w:ind w:right="-554"/>
        <w:rPr>
          <w:rFonts w:ascii="Arial" w:hAnsi="Arial"/>
          <w:color w:val="000000" w:themeColor="text1"/>
          <w:lang w:val="pt-BR"/>
        </w:rPr>
      </w:pPr>
      <w:r w:rsidRPr="00C77DBE">
        <w:rPr>
          <w:rFonts w:ascii="Arial" w:hAnsi="Arial"/>
          <w:color w:val="000000" w:themeColor="text1"/>
          <w:lang w:val="pt-BR"/>
        </w:rPr>
        <w:t>Le logiciel est un élément fondamental de la solution de mesure 5 axes, et le logiciel de métrologie MODUS de Renishaw continue de montrer la voie en matière de contrôle industriel hautes performances, en fournissant une plateforme optimale pour la mise en œuvre du système de mesure multipalpeur REVO.</w:t>
      </w:r>
    </w:p>
    <w:p w14:paraId="2024CFFB" w14:textId="77777777" w:rsidR="00C77DBE" w:rsidRPr="00C77DBE" w:rsidRDefault="00C77DBE" w:rsidP="00C77DBE">
      <w:pPr>
        <w:spacing w:line="336" w:lineRule="auto"/>
        <w:ind w:right="-554"/>
        <w:rPr>
          <w:rFonts w:ascii="Arial" w:eastAsia="Arial" w:hAnsi="Arial" w:cs="Arial"/>
          <w:color w:val="000000" w:themeColor="text1"/>
          <w:lang w:val="pt-BR"/>
        </w:rPr>
      </w:pPr>
    </w:p>
    <w:p w14:paraId="33B5954E" w14:textId="77777777" w:rsidR="00C77DBE" w:rsidRDefault="00C77DBE" w:rsidP="00C77DBE">
      <w:pPr>
        <w:spacing w:line="336" w:lineRule="auto"/>
        <w:ind w:right="-554"/>
        <w:rPr>
          <w:rFonts w:ascii="Arial" w:hAnsi="Arial"/>
          <w:color w:val="000000" w:themeColor="text1"/>
          <w:lang w:val="pt-BR"/>
        </w:rPr>
      </w:pPr>
      <w:r w:rsidRPr="00C77DBE">
        <w:rPr>
          <w:rFonts w:ascii="Arial" w:hAnsi="Arial"/>
          <w:color w:val="000000" w:themeColor="text1"/>
          <w:lang w:val="pt-BR"/>
        </w:rPr>
        <w:t>Le logiciel MODUS 1.12 apporte de multiples améliorations en termes de flexibilité et de convivialité aux capteurs REVO. Les utilisateurs peuvent bénéficier de nouvelles fonctionnalités puissantes grâce aux outils spécialisés de programmation (</w:t>
      </w:r>
      <w:r>
        <w:fldChar w:fldCharType="begin"/>
      </w:r>
      <w:r w:rsidRPr="00C77DBE">
        <w:rPr>
          <w:lang w:val="pt-BR"/>
        </w:rPr>
        <w:instrText>HYPERLINK "https://www.renishaw.fr/fr/modus-planning-suite--45491" \h</w:instrText>
      </w:r>
      <w:r>
        <w:fldChar w:fldCharType="separate"/>
      </w:r>
      <w:r w:rsidRPr="00C77DBE">
        <w:rPr>
          <w:rStyle w:val="Hyperlink"/>
          <w:rFonts w:ascii="Arial" w:hAnsi="Arial"/>
          <w:lang w:val="pt-BR"/>
        </w:rPr>
        <w:t>MODUS Planning Suite</w:t>
      </w:r>
      <w:r>
        <w:rPr>
          <w:rStyle w:val="Hyperlink"/>
          <w:rFonts w:ascii="Arial" w:hAnsi="Arial"/>
          <w:color w:val="auto"/>
          <w:u w:val="none"/>
        </w:rPr>
        <w:fldChar w:fldCharType="end"/>
      </w:r>
      <w:r w:rsidRPr="00C77DBE">
        <w:rPr>
          <w:rFonts w:ascii="Arial" w:hAnsi="Arial"/>
          <w:color w:val="000000" w:themeColor="text1"/>
          <w:lang w:val="pt-BR"/>
        </w:rPr>
        <w:t xml:space="preserve">) et de rapports (MODUS CHART). </w:t>
      </w:r>
    </w:p>
    <w:p w14:paraId="513D0297" w14:textId="77777777" w:rsidR="00C77DBE" w:rsidRPr="00C77DBE" w:rsidRDefault="00C77DBE" w:rsidP="00C77DBE">
      <w:pPr>
        <w:spacing w:line="336" w:lineRule="auto"/>
        <w:ind w:right="-554"/>
        <w:rPr>
          <w:rFonts w:ascii="Arial" w:eastAsia="Arial" w:hAnsi="Arial" w:cs="Arial"/>
          <w:color w:val="000000" w:themeColor="text1"/>
          <w:lang w:val="pt-BR"/>
        </w:rPr>
      </w:pPr>
    </w:p>
    <w:p w14:paraId="582DA1F5" w14:textId="77777777" w:rsidR="00C77DBE" w:rsidRDefault="00C77DBE" w:rsidP="00C77DBE">
      <w:pPr>
        <w:spacing w:line="336" w:lineRule="auto"/>
        <w:ind w:right="-554"/>
        <w:rPr>
          <w:rFonts w:ascii="Arial" w:hAnsi="Arial"/>
          <w:color w:val="000000" w:themeColor="text1"/>
          <w:lang w:val="pt-BR"/>
        </w:rPr>
      </w:pPr>
      <w:r w:rsidRPr="00C77DBE">
        <w:rPr>
          <w:rFonts w:ascii="Arial" w:hAnsi="Arial"/>
          <w:color w:val="000000" w:themeColor="text1"/>
          <w:lang w:val="pt-BR"/>
        </w:rPr>
        <w:t>En outre, le logiciel MODUS améliore la capacité de suivi de procédés en étant lié directement à la plateforme de connectivité et de données de fabrication Renishaw Central.Ceci facilite l’accès à toute une série de données systèmes et procédés des appareils Renishaw.</w:t>
      </w:r>
    </w:p>
    <w:p w14:paraId="0B878DD9" w14:textId="77777777" w:rsidR="00C77DBE" w:rsidRPr="00C77DBE" w:rsidRDefault="00C77DBE" w:rsidP="00C77DBE">
      <w:pPr>
        <w:spacing w:line="336" w:lineRule="auto"/>
        <w:ind w:right="-554"/>
        <w:rPr>
          <w:rFonts w:ascii="Arial" w:eastAsia="Arial" w:hAnsi="Arial" w:cs="Arial"/>
          <w:color w:val="000000" w:themeColor="text1"/>
          <w:lang w:val="pt-BR"/>
        </w:rPr>
      </w:pPr>
    </w:p>
    <w:p w14:paraId="69AB1EED" w14:textId="77777777" w:rsidR="00C77DBE" w:rsidRPr="00C77DBE" w:rsidRDefault="00C77DBE" w:rsidP="00C77DBE">
      <w:pPr>
        <w:spacing w:line="336" w:lineRule="auto"/>
        <w:ind w:right="-554"/>
        <w:rPr>
          <w:rFonts w:ascii="Arial" w:eastAsia="Arial" w:hAnsi="Arial" w:cs="Arial"/>
          <w:color w:val="000000" w:themeColor="text1"/>
          <w:lang w:val="pt-BR"/>
        </w:rPr>
      </w:pPr>
      <w:r w:rsidRPr="00C77DBE">
        <w:rPr>
          <w:rFonts w:ascii="Arial" w:hAnsi="Arial"/>
          <w:color w:val="000000" w:themeColor="text1"/>
          <w:lang w:val="pt-BR"/>
        </w:rPr>
        <w:t xml:space="preserve">Pour plus d’informations sur les dernières solutions d’automatisation des procédés de Renishaw pour améliorer la productivité et assurer la pérennité de vos procédés, rendez-nous visite à l’EMO d’Hanovre 2023 du 18 au 23 septembre 2023, hall 6, stand B32. </w:t>
      </w:r>
    </w:p>
    <w:p w14:paraId="64CE4BA7" w14:textId="77777777" w:rsidR="00C77DBE" w:rsidRDefault="00C77DBE" w:rsidP="00C77DBE">
      <w:pPr>
        <w:spacing w:line="336" w:lineRule="auto"/>
        <w:ind w:right="-554"/>
        <w:rPr>
          <w:rFonts w:ascii="Arial" w:eastAsia="Arial" w:hAnsi="Arial" w:cs="Arial"/>
          <w:color w:val="000000" w:themeColor="text1"/>
          <w:u w:val="single"/>
        </w:rPr>
      </w:pPr>
      <w:proofErr w:type="spellStart"/>
      <w:r>
        <w:rPr>
          <w:rFonts w:ascii="Arial" w:hAnsi="Arial"/>
          <w:color w:val="000000" w:themeColor="text1"/>
          <w:u w:val="single"/>
        </w:rPr>
        <w:t>Système</w:t>
      </w:r>
      <w:proofErr w:type="spellEnd"/>
      <w:r>
        <w:rPr>
          <w:rFonts w:ascii="Arial" w:hAnsi="Arial"/>
          <w:color w:val="000000" w:themeColor="text1"/>
          <w:u w:val="single"/>
        </w:rPr>
        <w:t xml:space="preserve"> de </w:t>
      </w:r>
      <w:proofErr w:type="spellStart"/>
      <w:r>
        <w:rPr>
          <w:rFonts w:ascii="Arial" w:hAnsi="Arial"/>
          <w:color w:val="000000" w:themeColor="text1"/>
          <w:u w:val="single"/>
        </w:rPr>
        <w:t>mesure</w:t>
      </w:r>
      <w:proofErr w:type="spellEnd"/>
      <w:r>
        <w:rPr>
          <w:rFonts w:ascii="Arial" w:hAnsi="Arial"/>
          <w:color w:val="000000" w:themeColor="text1"/>
          <w:u w:val="single"/>
        </w:rPr>
        <w:t xml:space="preserve"> 5 axes REVO (renishaw.fr)</w:t>
      </w:r>
    </w:p>
    <w:p w14:paraId="5939328A" w14:textId="77777777" w:rsidR="00C77DBE" w:rsidRDefault="00C77DBE" w:rsidP="00C77DBE">
      <w:pPr>
        <w:spacing w:line="336" w:lineRule="auto"/>
        <w:ind w:right="-554"/>
        <w:rPr>
          <w:rFonts w:ascii="Arial" w:eastAsia="Arial" w:hAnsi="Arial" w:cs="Arial"/>
          <w:color w:val="000000" w:themeColor="text1"/>
        </w:rPr>
      </w:pPr>
    </w:p>
    <w:p w14:paraId="0254AF0E" w14:textId="77777777" w:rsidR="00C77DBE" w:rsidRDefault="00C77DBE" w:rsidP="00C77DBE">
      <w:pPr>
        <w:spacing w:line="276" w:lineRule="auto"/>
        <w:jc w:val="center"/>
        <w:rPr>
          <w:rFonts w:ascii="Arial" w:eastAsia="Arial" w:hAnsi="Arial" w:cs="Arial"/>
          <w:color w:val="000000" w:themeColor="text1"/>
        </w:rPr>
      </w:pPr>
      <w:r>
        <w:rPr>
          <w:rFonts w:ascii="Arial" w:hAnsi="Arial"/>
          <w:b/>
          <w:color w:val="000000" w:themeColor="text1"/>
        </w:rPr>
        <w:t>-FIN-</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altName w:val="Malgun Gothic"/>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77DBE"/>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5165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2023-06-08T07:48:00Z</dcterms:created>
  <dcterms:modified xsi:type="dcterms:W3CDTF">2023-06-08T07:48:00Z</dcterms:modified>
</cp:coreProperties>
</file>