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DB" w:rsidRPr="005067B5" w:rsidRDefault="00121ADB">
      <w:pPr>
        <w:jc w:val="right"/>
        <w:rPr>
          <w:rFonts w:ascii="Arial" w:hAnsi="Arial"/>
          <w:lang w:val="es-ES"/>
        </w:rPr>
      </w:pPr>
    </w:p>
    <w:p w:rsidR="00121ADB" w:rsidRPr="005067B5" w:rsidRDefault="00121ADB">
      <w:pPr>
        <w:jc w:val="right"/>
        <w:rPr>
          <w:rFonts w:ascii="Arial" w:hAnsi="Arial"/>
          <w:lang w:val="es-ES"/>
        </w:rPr>
      </w:pPr>
      <w:r w:rsidRPr="005067B5">
        <w:rPr>
          <w:rFonts w:ascii="Arial" w:hAnsi="Arial"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65pt;margin-top:-71.8pt;width:179.75pt;height:50.55pt;z-index:251657728" stroked="f">
            <v:textbox>
              <w:txbxContent>
                <w:p w:rsidR="00BA4372" w:rsidRDefault="003945BB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091055" cy="540385"/>
                        <wp:effectExtent l="19050" t="0" r="4445" b="0"/>
                        <wp:docPr id="2" name="Picture 2" descr="RenishawLogo_SM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enishawLogo_SM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1055" cy="540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B3ECA" w:rsidRDefault="005B3ECA" w:rsidP="005B3ECA">
      <w:pPr>
        <w:pStyle w:val="Heading1"/>
        <w:rPr>
          <w:szCs w:val="24"/>
          <w:lang w:val="es-ES"/>
        </w:rPr>
      </w:pPr>
      <w:r>
        <w:rPr>
          <w:szCs w:val="24"/>
          <w:lang w:val="es-ES_tradnl"/>
        </w:rPr>
        <w:t>Novedades en Renishaw</w:t>
      </w:r>
    </w:p>
    <w:p w:rsidR="00121ADB" w:rsidRPr="005067B5" w:rsidRDefault="00121ADB">
      <w:pPr>
        <w:rPr>
          <w:rFonts w:ascii="Arial" w:hAnsi="Arial"/>
          <w:sz w:val="20"/>
          <w:lang w:val="es-ES"/>
        </w:rPr>
      </w:pPr>
    </w:p>
    <w:p w:rsidR="00121ADB" w:rsidRPr="005067B5" w:rsidRDefault="00121ADB">
      <w:pPr>
        <w:rPr>
          <w:rFonts w:ascii="Arial" w:hAnsi="Arial"/>
          <w:sz w:val="20"/>
          <w:lang w:val="es-ES"/>
        </w:rPr>
      </w:pPr>
    </w:p>
    <w:p w:rsidR="00121ADB" w:rsidRPr="005067B5" w:rsidRDefault="00121ADB">
      <w:pPr>
        <w:rPr>
          <w:rFonts w:ascii="Arial" w:hAnsi="Arial"/>
          <w:sz w:val="20"/>
          <w:lang w:val="es-ES"/>
        </w:rPr>
      </w:pPr>
    </w:p>
    <w:p w:rsidR="005B3ECA" w:rsidRDefault="005B3ECA" w:rsidP="005B3ECA">
      <w:pPr>
        <w:spacing w:line="360" w:lineRule="auto"/>
        <w:rPr>
          <w:rFonts w:ascii="Arial" w:hAnsi="Arial"/>
          <w:b/>
          <w:szCs w:val="24"/>
          <w:lang w:val="es-ES"/>
        </w:rPr>
      </w:pPr>
      <w:r>
        <w:rPr>
          <w:rFonts w:ascii="Arial" w:hAnsi="Arial"/>
          <w:b/>
          <w:szCs w:val="24"/>
          <w:lang w:val="es-ES_tradnl"/>
        </w:rPr>
        <w:t>Renishaw abre una nueva oficina filial en México</w:t>
      </w: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San Pedro Garza Garcia, México, 6 de marzo de 2012 – Renishaw, líder mundial en metrología y espectrografía, ha inaugurado una nueva oficina subsidiaria en San Pedro Garza Garcia, N.L., para apoyar directamente la rápida expansión de su base de clientes en México y Centroamérica.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Las nuevas operaciones serán gestionadas por Alejandro Silva C., anterior propietario de Metric Precision Group, un distribuidor mexicano de los productos de metrología de Renishaw.</w:t>
      </w:r>
    </w:p>
    <w:p w:rsidR="00BA4372" w:rsidRPr="005067B5" w:rsidRDefault="00BA4372" w:rsidP="00BA4372">
      <w:pPr>
        <w:rPr>
          <w:rFonts w:ascii="Arial" w:hAnsi="Arial"/>
          <w:sz w:val="20"/>
          <w:lang w:val="es-ES"/>
        </w:rPr>
      </w:pP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“Vemos un potencial considerable para nuestros negocios en México, donde sectores como la automotriz y la electrónica están mostrando un gran crecimiento," afirma Ben Taylor, director ejecutivo adjunto de Renishaw.</w:t>
      </w: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"Es en estas industrias donde nuestros productos pueden marcar una diferencia real entre la eficacia de fabricación y la calidad.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Nuestra subsidiaria se centrará en la promoción y el soporte técnico de la gama completa de tecnologías para Maquinas-Herramienta de Renishaw, sistemas de medición y control de movimiento.”</w:t>
      </w:r>
    </w:p>
    <w:p w:rsidR="00BA4372" w:rsidRPr="005067B5" w:rsidRDefault="00BA4372" w:rsidP="00BA4372">
      <w:pPr>
        <w:rPr>
          <w:rFonts w:ascii="Arial" w:hAnsi="Arial"/>
          <w:sz w:val="20"/>
          <w:lang w:val="es-ES"/>
        </w:rPr>
      </w:pP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Alejandro Silva C., el nuevo gerente y director general de Renishaw México, S. de R.L. de C.V., ha dedicado toda su carrera al sector de la Máquina-Herramienta, con responsabilidades en logística, producción y ventas, incluido un período de tres años para un fabricante alemán.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En 2007 creó su propia compañía, Metric Precision, una empresa dedicada a la venta de productos Renishaw.</w:t>
      </w:r>
    </w:p>
    <w:p w:rsidR="00BA4372" w:rsidRPr="005067B5" w:rsidRDefault="00BA4372" w:rsidP="00BA4372">
      <w:pPr>
        <w:rPr>
          <w:rFonts w:ascii="Arial" w:hAnsi="Arial"/>
          <w:sz w:val="20"/>
          <w:lang w:val="es-ES"/>
        </w:rPr>
      </w:pP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“No hay duda de que la nueva subsidiaria de Renishaw en México proporcionará todo el servicio y asistencia a los clientes en ventas, experiencia técnica y asesoramiento de aplicaciones para toda la gama de productos de metrología," comenta Silva.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"Con nuestros conocimientos y con el respaldo que proporciona el Grupo Renishaw a nivel internacional, se garantiza que nuestras operaciones en la subsidiaria en México tendrán éxito en el mercado nacional y en Centroamérica.”</w:t>
      </w:r>
      <w:r>
        <w:rPr>
          <w:rFonts w:ascii="Arial" w:hAnsi="Arial"/>
          <w:sz w:val="20"/>
          <w:szCs w:val="24"/>
          <w:lang w:val="es-ES"/>
        </w:rPr>
        <w:t xml:space="preserve"> </w:t>
      </w:r>
    </w:p>
    <w:p w:rsidR="00BA4372" w:rsidRPr="005067B5" w:rsidRDefault="00BA4372" w:rsidP="00BA4372">
      <w:pPr>
        <w:rPr>
          <w:rFonts w:ascii="Arial" w:hAnsi="Arial"/>
          <w:sz w:val="20"/>
          <w:lang w:val="es-ES"/>
        </w:rPr>
      </w:pPr>
    </w:p>
    <w:p w:rsidR="00673EB2" w:rsidRDefault="00673EB2" w:rsidP="00673EB2">
      <w:pPr>
        <w:rPr>
          <w:rFonts w:ascii="Arial" w:hAnsi="Arial"/>
          <w:sz w:val="20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La subsidiaria cuenta además con el respaldo de un nuevo sitio web (www.renishaw.mx) con información en idioma local sobre la gama de sensores de medición y el software de Renishaw, productos de palpado, sistemas de calibrado, encóderes de posición y productos de espectrografía Raman.</w:t>
      </w:r>
    </w:p>
    <w:p w:rsidR="00BA4372" w:rsidRPr="005067B5" w:rsidRDefault="00BA4372" w:rsidP="00BA4372">
      <w:pPr>
        <w:spacing w:line="360" w:lineRule="auto"/>
        <w:rPr>
          <w:rFonts w:ascii="Arial" w:hAnsi="Arial"/>
          <w:b/>
          <w:sz w:val="20"/>
          <w:lang w:val="es-ES"/>
        </w:rPr>
      </w:pPr>
    </w:p>
    <w:p w:rsidR="00673EB2" w:rsidRDefault="00673EB2" w:rsidP="00673EB2">
      <w:pPr>
        <w:spacing w:line="360" w:lineRule="auto"/>
        <w:rPr>
          <w:rFonts w:ascii="Arial" w:hAnsi="Arial"/>
          <w:b/>
          <w:sz w:val="20"/>
          <w:szCs w:val="24"/>
          <w:lang w:val="es-ES"/>
        </w:rPr>
      </w:pPr>
      <w:r>
        <w:rPr>
          <w:rFonts w:ascii="Arial" w:hAnsi="Arial"/>
          <w:b/>
          <w:sz w:val="20"/>
          <w:szCs w:val="24"/>
          <w:lang w:val="es-ES_tradnl"/>
        </w:rPr>
        <w:t>Acerca de Renishaw</w:t>
      </w: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Renishaw es una empresa internacional con amplia experiencia en medición, control de moción, espectrografía y mecanizado de precisión.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Desarrollamos productos innovadores que agilizan considerablemente el rendimiento operativo de nuestros clientes: desde una mejora en la eficacia de fabricación y un aumento de la calidad del producto, hasta una potenciación de la capacidad de investigación y la mejora de la eficacia en los procedimientos médicos.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El Grupo Renishaw tiene en la actualidad sedes en más de 32 países, con más de 2.700 empleados.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>Para obtener más información sobre el Grupo Renishaw, visite www.renishaw.com</w:t>
      </w:r>
      <w:r>
        <w:rPr>
          <w:rFonts w:ascii="Arial" w:hAnsi="Arial"/>
          <w:sz w:val="20"/>
          <w:szCs w:val="24"/>
          <w:lang w:val="es-ES"/>
        </w:rPr>
        <w:t xml:space="preserve"> </w:t>
      </w:r>
    </w:p>
    <w:p w:rsidR="00BA4372" w:rsidRPr="005067B5" w:rsidRDefault="00BA4372" w:rsidP="00BA4372">
      <w:pPr>
        <w:rPr>
          <w:rFonts w:ascii="Arial" w:hAnsi="Arial"/>
          <w:sz w:val="20"/>
          <w:lang w:val="es-ES"/>
        </w:rPr>
      </w:pPr>
    </w:p>
    <w:p w:rsidR="00673EB2" w:rsidRDefault="00673EB2" w:rsidP="00673EB2">
      <w:pPr>
        <w:spacing w:line="360" w:lineRule="auto"/>
        <w:jc w:val="center"/>
        <w:rPr>
          <w:rFonts w:ascii="Arial" w:hAnsi="Arial"/>
          <w:sz w:val="20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- FIN –</w:t>
      </w:r>
    </w:p>
    <w:p w:rsidR="00673EB2" w:rsidRDefault="00673EB2" w:rsidP="00673EB2">
      <w:pPr>
        <w:pStyle w:val="Heading4"/>
        <w:rPr>
          <w:szCs w:val="24"/>
          <w:lang w:val="es-ES"/>
        </w:rPr>
      </w:pPr>
      <w:r>
        <w:rPr>
          <w:szCs w:val="24"/>
          <w:lang w:val="es-ES_tradnl"/>
        </w:rPr>
        <w:t>Contacto</w:t>
      </w: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Jeff Seliga</w:t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_tradnl"/>
        </w:rPr>
        <w:t>o bien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_tradnl"/>
        </w:rPr>
        <w:t>Ray Kemble</w:t>
      </w:r>
      <w:r>
        <w:rPr>
          <w:rFonts w:ascii="Arial" w:hAnsi="Arial"/>
          <w:sz w:val="20"/>
          <w:szCs w:val="24"/>
          <w:lang w:val="es-ES"/>
        </w:rPr>
        <w:t xml:space="preserve"> </w:t>
      </w: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Renishaw Inc.</w:t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_tradnl"/>
        </w:rPr>
        <w:t>Kemble &amp; Rude Communications, Inc.</w:t>
      </w: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lastRenderedPageBreak/>
        <w:t>5277 Trillium Blvd.</w:t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_tradnl"/>
        </w:rPr>
        <w:t>4242 Airport Rd.</w:t>
      </w:r>
    </w:p>
    <w:p w:rsidR="00673EB2" w:rsidRDefault="00673EB2" w:rsidP="00673EB2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Hoffman Estates, IL 60192</w:t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_tradnl"/>
        </w:rPr>
        <w:t>Cincinnati, OH 45226</w:t>
      </w:r>
    </w:p>
    <w:p w:rsidR="00673EB2" w:rsidRDefault="00673EB2" w:rsidP="00673EB2">
      <w:pPr>
        <w:rPr>
          <w:rFonts w:ascii="Arial" w:hAnsi="Arial"/>
          <w:szCs w:val="24"/>
          <w:lang w:val="es-ES"/>
        </w:rPr>
      </w:pPr>
      <w:bookmarkStart w:id="0" w:name="_Hlt56395873"/>
      <w:bookmarkStart w:id="1" w:name="_Hlt134580139"/>
      <w:r>
        <w:rPr>
          <w:rFonts w:ascii="Arial" w:hAnsi="Arial"/>
          <w:sz w:val="20"/>
          <w:szCs w:val="24"/>
          <w:lang w:val="es-ES_tradnl"/>
        </w:rPr>
        <w:t>Tel.:</w:t>
      </w:r>
      <w:r>
        <w:rPr>
          <w:rFonts w:ascii="Arial" w:hAnsi="Arial"/>
          <w:sz w:val="20"/>
          <w:szCs w:val="24"/>
          <w:lang w:val="es-ES"/>
        </w:rPr>
        <w:t xml:space="preserve"> 847.286.9953</w:t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_tradnl"/>
        </w:rPr>
        <w:t>Tel.:</w:t>
      </w:r>
      <w:r>
        <w:rPr>
          <w:rFonts w:ascii="Arial" w:hAnsi="Arial"/>
          <w:sz w:val="20"/>
          <w:szCs w:val="24"/>
          <w:lang w:val="es-ES"/>
        </w:rPr>
        <w:t xml:space="preserve">  513.871.4042</w:t>
      </w:r>
    </w:p>
    <w:bookmarkEnd w:id="0"/>
    <w:bookmarkEnd w:id="1"/>
    <w:p w:rsidR="00673EB2" w:rsidRDefault="00673EB2" w:rsidP="00673EB2">
      <w:pPr>
        <w:pStyle w:val="Footer"/>
        <w:tabs>
          <w:tab w:val="clear" w:pos="4320"/>
          <w:tab w:val="clear" w:pos="8640"/>
        </w:tabs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Fax:</w:t>
      </w:r>
      <w:r>
        <w:rPr>
          <w:rFonts w:ascii="Arial" w:hAnsi="Arial"/>
          <w:sz w:val="20"/>
          <w:szCs w:val="24"/>
          <w:lang w:val="es-ES"/>
        </w:rPr>
        <w:t xml:space="preserve"> 847.286.9974</w:t>
      </w:r>
      <w:r>
        <w:rPr>
          <w:rFonts w:ascii="Arial" w:hAnsi="Arial"/>
          <w:szCs w:val="24"/>
          <w:lang w:val="es-ES"/>
        </w:rPr>
        <w:tab/>
      </w:r>
      <w:r>
        <w:rPr>
          <w:rFonts w:ascii="Arial" w:hAnsi="Arial"/>
          <w:szCs w:val="24"/>
          <w:lang w:val="es-ES"/>
        </w:rPr>
        <w:tab/>
      </w:r>
      <w:r>
        <w:rPr>
          <w:rFonts w:ascii="Arial" w:hAnsi="Arial"/>
          <w:szCs w:val="24"/>
          <w:lang w:val="es-ES"/>
        </w:rPr>
        <w:tab/>
      </w:r>
      <w:r>
        <w:rPr>
          <w:rFonts w:ascii="Arial" w:hAnsi="Arial"/>
          <w:szCs w:val="24"/>
          <w:lang w:val="es-ES"/>
        </w:rPr>
        <w:tab/>
      </w:r>
      <w:r>
        <w:rPr>
          <w:rFonts w:ascii="Arial" w:hAnsi="Arial"/>
          <w:szCs w:val="24"/>
          <w:lang w:val="es-ES"/>
        </w:rPr>
        <w:tab/>
      </w:r>
      <w:r>
        <w:rPr>
          <w:rFonts w:ascii="Arial" w:hAnsi="Arial"/>
          <w:szCs w:val="24"/>
          <w:lang w:val="es-ES"/>
        </w:rPr>
        <w:tab/>
      </w:r>
      <w:r>
        <w:rPr>
          <w:rFonts w:ascii="Arial" w:hAnsi="Arial"/>
          <w:szCs w:val="24"/>
          <w:lang w:val="es-ES"/>
        </w:rPr>
        <w:tab/>
      </w:r>
      <w:r>
        <w:rPr>
          <w:rFonts w:ascii="Arial" w:hAnsi="Arial"/>
          <w:sz w:val="20"/>
          <w:szCs w:val="24"/>
          <w:lang w:val="es-ES_tradnl"/>
        </w:rPr>
        <w:t>Fax:</w:t>
      </w:r>
      <w:r>
        <w:rPr>
          <w:rFonts w:ascii="Arial" w:hAnsi="Arial"/>
          <w:sz w:val="20"/>
          <w:szCs w:val="24"/>
          <w:lang w:val="es-ES"/>
        </w:rPr>
        <w:t xml:space="preserve">  513.871.4895</w:t>
      </w:r>
    </w:p>
    <w:p w:rsidR="00673EB2" w:rsidRPr="00673EB2" w:rsidRDefault="00673EB2" w:rsidP="00673EB2">
      <w:pPr>
        <w:rPr>
          <w:rFonts w:ascii="Arial" w:hAnsi="Arial"/>
          <w:szCs w:val="24"/>
          <w:lang w:val="es-ES"/>
        </w:rPr>
      </w:pPr>
      <w:hyperlink r:id="rId7" w:history="1">
        <w:r>
          <w:rPr>
            <w:rStyle w:val="Hyperlink"/>
            <w:rFonts w:ascii="Arial" w:hAnsi="Arial"/>
            <w:sz w:val="20"/>
            <w:szCs w:val="24"/>
            <w:lang w:val="es-ES_tradnl"/>
          </w:rPr>
          <w:t>jeffrey.seliga@renishaw.com</w:t>
        </w:r>
      </w:hyperlink>
      <w:r>
        <w:rPr>
          <w:rFonts w:ascii="Arial" w:hAnsi="Arial"/>
          <w:szCs w:val="24"/>
          <w:lang w:val="es-ES_tradnl"/>
        </w:rPr>
        <w:t xml:space="preserve"> </w:t>
      </w:r>
      <w:r>
        <w:rPr>
          <w:rFonts w:ascii="Arial" w:hAnsi="Arial"/>
          <w:szCs w:val="24"/>
          <w:lang w:val="es-ES_tradnl"/>
        </w:rPr>
        <w:tab/>
      </w:r>
      <w:r>
        <w:rPr>
          <w:rFonts w:ascii="Arial" w:hAnsi="Arial"/>
          <w:szCs w:val="24"/>
          <w:lang w:val="es-ES_tradnl"/>
        </w:rPr>
        <w:tab/>
      </w:r>
      <w:r>
        <w:rPr>
          <w:rFonts w:ascii="Arial" w:hAnsi="Arial"/>
          <w:szCs w:val="24"/>
          <w:lang w:val="es-ES_tradnl"/>
        </w:rPr>
        <w:tab/>
      </w:r>
      <w:r>
        <w:rPr>
          <w:rFonts w:ascii="Arial" w:hAnsi="Arial"/>
          <w:szCs w:val="24"/>
          <w:lang w:val="es-ES_tradnl"/>
        </w:rPr>
        <w:tab/>
      </w:r>
      <w:hyperlink r:id="rId8" w:history="1">
        <w:r>
          <w:rPr>
            <w:rStyle w:val="Hyperlink"/>
            <w:rFonts w:ascii="Arial" w:hAnsi="Arial"/>
            <w:sz w:val="20"/>
            <w:szCs w:val="24"/>
            <w:lang w:val="es-ES_tradnl"/>
          </w:rPr>
          <w:t>rkemble@kemblerude.com</w:t>
        </w:r>
      </w:hyperlink>
    </w:p>
    <w:p w:rsidR="005B3ECA" w:rsidRDefault="005B3ECA" w:rsidP="005B3ECA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La imagen siguiente que acompaña a esta nota es un archivo jpg de alta resolución.</w:t>
      </w:r>
      <w:r>
        <w:rPr>
          <w:rFonts w:ascii="Arial" w:hAnsi="Arial"/>
          <w:sz w:val="20"/>
          <w:szCs w:val="24"/>
          <w:lang w:val="es-ES"/>
        </w:rPr>
        <w:t xml:space="preserve"> </w:t>
      </w:r>
      <w:r>
        <w:rPr>
          <w:rFonts w:ascii="Arial" w:hAnsi="Arial"/>
          <w:sz w:val="20"/>
          <w:szCs w:val="24"/>
          <w:lang w:val="es-ES_tradnl"/>
        </w:rPr>
        <w:t xml:space="preserve">Si desea una copia de repuesto, póngase en contacto con </w:t>
      </w:r>
      <w:hyperlink r:id="rId9" w:history="1">
        <w:r>
          <w:rPr>
            <w:rStyle w:val="Hyperlink"/>
            <w:rFonts w:ascii="Arial" w:hAnsi="Arial"/>
            <w:sz w:val="20"/>
            <w:szCs w:val="24"/>
            <w:lang w:val="es-ES_tradnl"/>
          </w:rPr>
          <w:t>rkemble@kemblerude.com</w:t>
        </w:r>
      </w:hyperlink>
    </w:p>
    <w:p w:rsidR="00BA4372" w:rsidRPr="005067B5" w:rsidRDefault="00BA4372">
      <w:pPr>
        <w:rPr>
          <w:rFonts w:ascii="Arial" w:hAnsi="Arial"/>
          <w:sz w:val="20"/>
          <w:lang w:val="es-ES"/>
        </w:rPr>
      </w:pPr>
    </w:p>
    <w:p w:rsidR="005B3ECA" w:rsidRDefault="005B3ECA" w:rsidP="005B3ECA">
      <w:pPr>
        <w:rPr>
          <w:rFonts w:ascii="Arial" w:hAnsi="Arial"/>
          <w:szCs w:val="24"/>
          <w:lang w:val="es-ES"/>
        </w:rPr>
      </w:pPr>
      <w:r>
        <w:rPr>
          <w:rFonts w:ascii="Arial" w:hAnsi="Arial"/>
          <w:sz w:val="20"/>
          <w:szCs w:val="24"/>
          <w:lang w:val="es-ES_tradnl"/>
        </w:rPr>
        <w:t>Nombre del archivo de imagen:</w:t>
      </w:r>
      <w:r>
        <w:rPr>
          <w:rFonts w:ascii="Arial" w:hAnsi="Arial"/>
          <w:sz w:val="20"/>
          <w:szCs w:val="24"/>
          <w:lang w:val="es-ES"/>
        </w:rPr>
        <w:t xml:space="preserve">   </w:t>
      </w:r>
      <w:r>
        <w:rPr>
          <w:rFonts w:ascii="Arial" w:hAnsi="Arial"/>
          <w:sz w:val="20"/>
          <w:szCs w:val="24"/>
          <w:lang w:val="es-ES_tradnl"/>
        </w:rPr>
        <w:t>Renishaw_Alejandro Silva.jpg</w:t>
      </w:r>
    </w:p>
    <w:p w:rsidR="00BA4372" w:rsidRPr="005067B5" w:rsidRDefault="00BA4372">
      <w:pPr>
        <w:rPr>
          <w:rFonts w:ascii="Arial" w:hAnsi="Arial"/>
          <w:lang w:val="es-ES"/>
        </w:rPr>
      </w:pPr>
    </w:p>
    <w:p w:rsidR="00BA4372" w:rsidRPr="005067B5" w:rsidRDefault="003945BB" w:rsidP="005B3ECA">
      <w:pPr>
        <w:rPr>
          <w:lang w:val="es-ES"/>
        </w:rPr>
      </w:pPr>
      <w:r>
        <w:rPr>
          <w:rFonts w:ascii="Arial" w:hAnsi="Arial"/>
          <w:noProof/>
          <w:lang w:val="en-GB" w:eastAsia="en-GB"/>
        </w:rPr>
        <w:drawing>
          <wp:inline distT="0" distB="0" distL="0" distR="0">
            <wp:extent cx="2417445" cy="3100705"/>
            <wp:effectExtent l="19050" t="0" r="1905" b="0"/>
            <wp:docPr id="1" name="Picture 1" descr="Renishaw_Alejandro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ishaw_Alejandro Silv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310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42D" w:rsidRPr="005067B5" w:rsidRDefault="002C442D" w:rsidP="002C442D">
      <w:pPr>
        <w:rPr>
          <w:rFonts w:ascii="Arial" w:hAnsi="Arial"/>
          <w:lang w:val="es-ES"/>
        </w:rPr>
      </w:pPr>
    </w:p>
    <w:sectPr w:rsidR="002C442D" w:rsidRPr="005067B5">
      <w:headerReference w:type="default" r:id="rId11"/>
      <w:pgSz w:w="12240" w:h="15840"/>
      <w:pgMar w:top="2160" w:right="1440" w:bottom="806" w:left="208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E4C" w:rsidRDefault="00CE7E4C">
      <w:r>
        <w:separator/>
      </w:r>
    </w:p>
  </w:endnote>
  <w:endnote w:type="continuationSeparator" w:id="0">
    <w:p w:rsidR="00CE7E4C" w:rsidRDefault="00CE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E4C" w:rsidRDefault="00CE7E4C">
      <w:r>
        <w:separator/>
      </w:r>
    </w:p>
  </w:footnote>
  <w:footnote w:type="continuationSeparator" w:id="0">
    <w:p w:rsidR="00CE7E4C" w:rsidRDefault="00CE7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72" w:rsidRPr="005067B5" w:rsidRDefault="005067B5">
    <w:pPr>
      <w:pStyle w:val="Header"/>
      <w:jc w:val="right"/>
      <w:rPr>
        <w:rFonts w:ascii="Arial" w:hAnsi="Arial"/>
        <w:sz w:val="20"/>
        <w:lang w:val="es-ES"/>
      </w:rPr>
    </w:pPr>
    <w:r w:rsidRPr="005067B5">
      <w:rPr>
        <w:rFonts w:ascii="Arial" w:hAnsi="Arial"/>
        <w:sz w:val="20"/>
        <w:lang w:val="es-ES"/>
      </w:rPr>
      <w:t>Renishaw abre una nueva oficina filial en México</w:t>
    </w:r>
    <w:r w:rsidR="00BA4372" w:rsidRPr="005067B5">
      <w:rPr>
        <w:rFonts w:ascii="Arial" w:hAnsi="Arial"/>
        <w:sz w:val="20"/>
        <w:lang w:val="es-ES"/>
      </w:rPr>
      <w:t xml:space="preserve"> – P</w:t>
    </w:r>
    <w:r>
      <w:rPr>
        <w:rFonts w:ascii="Arial" w:hAnsi="Arial"/>
        <w:sz w:val="20"/>
        <w:lang w:val="es-ES"/>
      </w:rPr>
      <w:t xml:space="preserve">agina </w:t>
    </w:r>
    <w:r w:rsidR="00BA4372">
      <w:rPr>
        <w:rStyle w:val="PageNumber"/>
        <w:rFonts w:ascii="Arial" w:hAnsi="Arial"/>
        <w:sz w:val="20"/>
      </w:rPr>
      <w:fldChar w:fldCharType="begin"/>
    </w:r>
    <w:r w:rsidR="00BA4372" w:rsidRPr="005067B5">
      <w:rPr>
        <w:rStyle w:val="PageNumber"/>
        <w:rFonts w:ascii="Arial" w:hAnsi="Arial"/>
        <w:sz w:val="20"/>
        <w:lang w:val="es-ES"/>
      </w:rPr>
      <w:instrText xml:space="preserve"> PAGE </w:instrText>
    </w:r>
    <w:r w:rsidR="00BA4372">
      <w:rPr>
        <w:rStyle w:val="PageNumber"/>
        <w:rFonts w:ascii="Arial" w:hAnsi="Arial"/>
        <w:sz w:val="20"/>
      </w:rPr>
      <w:fldChar w:fldCharType="separate"/>
    </w:r>
    <w:r w:rsidR="00A25C20">
      <w:rPr>
        <w:rStyle w:val="PageNumber"/>
        <w:rFonts w:ascii="Arial" w:hAnsi="Arial"/>
        <w:noProof/>
        <w:sz w:val="20"/>
        <w:lang w:val="es-ES"/>
      </w:rPr>
      <w:t>2</w:t>
    </w:r>
    <w:r w:rsidR="00BA4372">
      <w:rPr>
        <w:rStyle w:val="PageNumber"/>
        <w:rFonts w:ascii="Arial" w:hAnsi="Arial"/>
        <w:sz w:val="20"/>
      </w:rPr>
      <w:fldChar w:fldCharType="end"/>
    </w:r>
    <w:r w:rsidR="00BA4372" w:rsidRPr="005067B5">
      <w:rPr>
        <w:rStyle w:val="PageNumber"/>
        <w:rFonts w:ascii="Arial" w:hAnsi="Arial"/>
        <w:sz w:val="20"/>
        <w:lang w:val="es-ES"/>
      </w:rPr>
      <w:t xml:space="preserve"> </w:t>
    </w:r>
    <w:r>
      <w:rPr>
        <w:rStyle w:val="PageNumber"/>
        <w:rFonts w:ascii="Arial" w:hAnsi="Arial"/>
        <w:sz w:val="20"/>
        <w:lang w:val="es-ES"/>
      </w:rPr>
      <w:t xml:space="preserve">de </w:t>
    </w:r>
    <w:r w:rsidR="00BA4372">
      <w:rPr>
        <w:rStyle w:val="PageNumber"/>
        <w:rFonts w:ascii="Arial" w:hAnsi="Arial"/>
        <w:sz w:val="20"/>
      </w:rPr>
      <w:fldChar w:fldCharType="begin"/>
    </w:r>
    <w:r w:rsidR="00BA4372" w:rsidRPr="005067B5">
      <w:rPr>
        <w:rStyle w:val="PageNumber"/>
        <w:rFonts w:ascii="Arial" w:hAnsi="Arial"/>
        <w:sz w:val="20"/>
        <w:lang w:val="es-ES"/>
      </w:rPr>
      <w:instrText xml:space="preserve"> NUMPAGES </w:instrText>
    </w:r>
    <w:r w:rsidR="00BA4372">
      <w:rPr>
        <w:rStyle w:val="PageNumber"/>
        <w:rFonts w:ascii="Arial" w:hAnsi="Arial"/>
        <w:sz w:val="20"/>
      </w:rPr>
      <w:fldChar w:fldCharType="separate"/>
    </w:r>
    <w:r w:rsidR="00A25C20">
      <w:rPr>
        <w:rStyle w:val="PageNumber"/>
        <w:rFonts w:ascii="Arial" w:hAnsi="Arial"/>
        <w:noProof/>
        <w:sz w:val="20"/>
        <w:lang w:val="es-ES"/>
      </w:rPr>
      <w:t>2</w:t>
    </w:r>
    <w:r w:rsidR="00BA4372">
      <w:rPr>
        <w:rStyle w:val="PageNumber"/>
        <w:rFonts w:ascii="Arial" w:hAnsi="Arial"/>
        <w:sz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embedSystemFonts/>
  <w:stylePaneFormatFilter w:val="3F01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D6A75"/>
    <w:rsid w:val="00121ADB"/>
    <w:rsid w:val="00292E54"/>
    <w:rsid w:val="002C442D"/>
    <w:rsid w:val="00392A13"/>
    <w:rsid w:val="003945BB"/>
    <w:rsid w:val="00402F47"/>
    <w:rsid w:val="005067B5"/>
    <w:rsid w:val="00511241"/>
    <w:rsid w:val="005B3ECA"/>
    <w:rsid w:val="00673EB2"/>
    <w:rsid w:val="006E1004"/>
    <w:rsid w:val="00893071"/>
    <w:rsid w:val="00A25C20"/>
    <w:rsid w:val="00BA4372"/>
    <w:rsid w:val="00CE7E4C"/>
    <w:rsid w:val="00E937F3"/>
    <w:rsid w:val="00FA046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outlineLvl w:val="3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0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/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FA046B"/>
    <w:rPr>
      <w:rFonts w:ascii="Arial" w:hAnsi="Arial"/>
      <w:b/>
      <w:sz w:val="24"/>
      <w:lang w:val="en-US" w:eastAsia="en-US"/>
    </w:rPr>
  </w:style>
  <w:style w:type="character" w:customStyle="1" w:styleId="tw4winMark">
    <w:name w:val="tw4winMark"/>
    <w:uiPriority w:val="99"/>
    <w:rsid w:val="00FA046B"/>
    <w:rPr>
      <w:rFonts w:ascii="Courier New" w:hAnsi="Courier New"/>
      <w:vanish/>
      <w:color w:val="800080"/>
      <w:vertAlign w:val="subscript"/>
    </w:rPr>
  </w:style>
  <w:style w:type="character" w:customStyle="1" w:styleId="Heading4Char">
    <w:name w:val="Heading 4 Char"/>
    <w:link w:val="Heading4"/>
    <w:rsid w:val="00511241"/>
    <w:rPr>
      <w:rFonts w:ascii="Arial" w:hAnsi="Arial"/>
      <w:b/>
      <w:u w:val="single"/>
      <w:lang w:val="en-US" w:eastAsia="en-US"/>
    </w:rPr>
  </w:style>
  <w:style w:type="character" w:customStyle="1" w:styleId="FooterChar">
    <w:name w:val="Footer Char"/>
    <w:link w:val="Footer"/>
    <w:rsid w:val="00511241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emble@kemblerude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oward.salt@renishaw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rkemble@kembleru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3580</CharactersWithSpaces>
  <SharedDoc>false</SharedDoc>
  <HyperlinkBase/>
  <HLinks>
    <vt:vector size="36" baseType="variant">
      <vt:variant>
        <vt:i4>5177457</vt:i4>
      </vt:variant>
      <vt:variant>
        <vt:i4>15</vt:i4>
      </vt:variant>
      <vt:variant>
        <vt:i4>0</vt:i4>
      </vt:variant>
      <vt:variant>
        <vt:i4>5</vt:i4>
      </vt:variant>
      <vt:variant>
        <vt:lpwstr>mailto:rkemble@kemblerude.com</vt:lpwstr>
      </vt:variant>
      <vt:variant>
        <vt:lpwstr/>
      </vt:variant>
      <vt:variant>
        <vt:i4>5177457</vt:i4>
      </vt:variant>
      <vt:variant>
        <vt:i4>12</vt:i4>
      </vt:variant>
      <vt:variant>
        <vt:i4>0</vt:i4>
      </vt:variant>
      <vt:variant>
        <vt:i4>5</vt:i4>
      </vt:variant>
      <vt:variant>
        <vt:lpwstr>mailto:rkemble@kemblerude.com</vt:lpwstr>
      </vt:variant>
      <vt:variant>
        <vt:lpwstr/>
      </vt:variant>
      <vt:variant>
        <vt:i4>5177457</vt:i4>
      </vt:variant>
      <vt:variant>
        <vt:i4>9</vt:i4>
      </vt:variant>
      <vt:variant>
        <vt:i4>0</vt:i4>
      </vt:variant>
      <vt:variant>
        <vt:i4>5</vt:i4>
      </vt:variant>
      <vt:variant>
        <vt:lpwstr>mailto:rkemble@kemblerude.com</vt:lpwstr>
      </vt:variant>
      <vt:variant>
        <vt:lpwstr/>
      </vt:variant>
      <vt:variant>
        <vt:i4>8060943</vt:i4>
      </vt:variant>
      <vt:variant>
        <vt:i4>6</vt:i4>
      </vt:variant>
      <vt:variant>
        <vt:i4>0</vt:i4>
      </vt:variant>
      <vt:variant>
        <vt:i4>5</vt:i4>
      </vt:variant>
      <vt:variant>
        <vt:lpwstr>mailto:howard.salt@renishaw.com</vt:lpwstr>
      </vt:variant>
      <vt:variant>
        <vt:lpwstr/>
      </vt:variant>
      <vt:variant>
        <vt:i4>5177457</vt:i4>
      </vt:variant>
      <vt:variant>
        <vt:i4>3</vt:i4>
      </vt:variant>
      <vt:variant>
        <vt:i4>0</vt:i4>
      </vt:variant>
      <vt:variant>
        <vt:i4>5</vt:i4>
      </vt:variant>
      <vt:variant>
        <vt:lpwstr>mailto:rkemble@kemblerude.com</vt:lpwstr>
      </vt:variant>
      <vt:variant>
        <vt:lpwstr/>
      </vt:variant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mailto:howard.salt@renishaw.com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Kemble</dc:creator>
  <cp:lastModifiedBy>Jo Green</cp:lastModifiedBy>
  <cp:revision>2</cp:revision>
  <cp:lastPrinted>2012-03-05T18:35:00Z</cp:lastPrinted>
  <dcterms:created xsi:type="dcterms:W3CDTF">2012-03-09T21:36:00Z</dcterms:created>
  <dcterms:modified xsi:type="dcterms:W3CDTF">2012-03-09T21:36:00Z</dcterms:modified>
</cp:coreProperties>
</file>