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02B" w:rsidRDefault="00F1358F">
      <w:pPr>
        <w:pStyle w:val="Heading1"/>
        <w:spacing w:line="280" w:lineRule="exact"/>
        <w:ind w:left="0"/>
      </w:pPr>
      <w:r>
        <w:rPr>
          <w:noProof/>
          <w:lang w:val="en-GB" w:eastAsia="en-GB"/>
        </w:rPr>
        <w:drawing>
          <wp:anchor distT="0" distB="0" distL="114300" distR="114300" simplePos="0" relativeHeight="251658240" behindDoc="0" locked="0" layoutInCell="0" allowOverlap="1">
            <wp:simplePos x="0" y="0"/>
            <wp:positionH relativeFrom="column">
              <wp:posOffset>4120515</wp:posOffset>
            </wp:positionH>
            <wp:positionV relativeFrom="paragraph">
              <wp:posOffset>188595</wp:posOffset>
            </wp:positionV>
            <wp:extent cx="2566035" cy="960120"/>
            <wp:effectExtent l="19050" t="0" r="571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8F0A98" w:rsidRPr="008F0A98">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7" DrawAspect="Content" ObjectID="_1422167684" r:id="rId9"/>
        </w:pict>
      </w:r>
      <w:r w:rsidR="00AC302B">
        <w:t xml:space="preserve"> </w:t>
      </w:r>
    </w:p>
    <w:p w:rsidR="001B5863" w:rsidRDefault="00D131A3" w:rsidP="005B2624">
      <w:pPr>
        <w:spacing w:line="360" w:lineRule="auto"/>
        <w:ind w:left="567" w:right="565"/>
        <w:rPr>
          <w:rFonts w:cs="Arial"/>
          <w:i/>
        </w:rPr>
      </w:pPr>
      <w:r>
        <w:rPr>
          <w:rFonts w:cs="Arial"/>
          <w:i/>
        </w:rPr>
        <w:t>12</w:t>
      </w:r>
      <w:r w:rsidRPr="00D131A3">
        <w:rPr>
          <w:rFonts w:cs="Arial"/>
          <w:i/>
          <w:vertAlign w:val="superscript"/>
        </w:rPr>
        <w:t>th</w:t>
      </w:r>
      <w:r>
        <w:rPr>
          <w:rFonts w:cs="Arial"/>
          <w:i/>
        </w:rPr>
        <w:t xml:space="preserve"> </w:t>
      </w:r>
      <w:r w:rsidR="001B5863">
        <w:rPr>
          <w:rFonts w:cs="Arial"/>
          <w:i/>
        </w:rPr>
        <w:t>February 2013 – for immediate release</w:t>
      </w:r>
    </w:p>
    <w:p w:rsidR="005B2624" w:rsidRDefault="005B2624" w:rsidP="005B2624">
      <w:pPr>
        <w:spacing w:line="360" w:lineRule="auto"/>
        <w:ind w:left="567" w:right="565"/>
        <w:rPr>
          <w:rFonts w:cs="Arial"/>
          <w:i/>
          <w:u w:val="single"/>
        </w:rPr>
      </w:pPr>
      <w:r w:rsidRPr="00992B91">
        <w:rPr>
          <w:rFonts w:cs="Arial"/>
          <w:i/>
        </w:rPr>
        <w:t>Enquiries: Chris Pockett</w:t>
      </w:r>
      <w:r>
        <w:rPr>
          <w:rFonts w:cs="Arial"/>
          <w:i/>
        </w:rPr>
        <w:t>,</w:t>
      </w:r>
      <w:r w:rsidRPr="00992B91">
        <w:rPr>
          <w:rFonts w:cs="Arial"/>
          <w:i/>
        </w:rPr>
        <w:t xml:space="preserve"> </w:t>
      </w:r>
      <w:r>
        <w:rPr>
          <w:rFonts w:cs="Arial"/>
          <w:i/>
        </w:rPr>
        <w:t xml:space="preserve">Group Marketing Services Manager </w:t>
      </w:r>
      <w:r w:rsidRPr="00992B91">
        <w:rPr>
          <w:rFonts w:cs="Arial"/>
          <w:i/>
        </w:rPr>
        <w:t>(</w:t>
      </w:r>
      <w:r>
        <w:rPr>
          <w:rFonts w:cs="Arial"/>
          <w:i/>
        </w:rPr>
        <w:t xml:space="preserve">+44 </w:t>
      </w:r>
      <w:r w:rsidRPr="00992B91">
        <w:rPr>
          <w:rFonts w:cs="Arial"/>
          <w:i/>
        </w:rPr>
        <w:t>1453 524133)</w:t>
      </w:r>
    </w:p>
    <w:p w:rsidR="00396A6B" w:rsidRDefault="00396A6B" w:rsidP="005B2624">
      <w:pPr>
        <w:spacing w:line="360" w:lineRule="auto"/>
        <w:ind w:left="567"/>
        <w:rPr>
          <w:rFonts w:cs="Arial"/>
          <w:b/>
        </w:rPr>
      </w:pPr>
    </w:p>
    <w:p w:rsidR="00C93847" w:rsidRPr="00C93847" w:rsidRDefault="006E39B3" w:rsidP="001B5863">
      <w:pPr>
        <w:tabs>
          <w:tab w:val="left" w:pos="10206"/>
        </w:tabs>
        <w:spacing w:line="360" w:lineRule="auto"/>
        <w:ind w:left="567" w:right="565"/>
        <w:rPr>
          <w:rFonts w:cs="Arial"/>
          <w:b/>
          <w:sz w:val="22"/>
          <w:szCs w:val="22"/>
        </w:rPr>
      </w:pPr>
      <w:bookmarkStart w:id="0" w:name="OLE_LINK1"/>
      <w:bookmarkStart w:id="1" w:name="OLE_LINK2"/>
      <w:bookmarkStart w:id="2" w:name="OLE_LINK3"/>
      <w:bookmarkStart w:id="3" w:name="OLE_LINK4"/>
      <w:r w:rsidRPr="006E39B3">
        <w:rPr>
          <w:rFonts w:cs="Arial"/>
          <w:b/>
          <w:sz w:val="24"/>
          <w:szCs w:val="24"/>
        </w:rPr>
        <w:t xml:space="preserve">Renishaw </w:t>
      </w:r>
      <w:r w:rsidR="00C93847">
        <w:rPr>
          <w:rFonts w:cs="Arial"/>
          <w:b/>
          <w:sz w:val="24"/>
          <w:szCs w:val="24"/>
        </w:rPr>
        <w:t>shortlisted for UK technology award</w:t>
      </w:r>
      <w:bookmarkEnd w:id="0"/>
      <w:bookmarkEnd w:id="1"/>
    </w:p>
    <w:bookmarkEnd w:id="2"/>
    <w:bookmarkEnd w:id="3"/>
    <w:p w:rsidR="00C47F81" w:rsidRDefault="00C93847" w:rsidP="001B5863">
      <w:pPr>
        <w:pStyle w:val="NormalWeb"/>
        <w:tabs>
          <w:tab w:val="left" w:pos="10206"/>
        </w:tabs>
        <w:spacing w:line="312" w:lineRule="auto"/>
        <w:ind w:left="567" w:right="565"/>
        <w:rPr>
          <w:rFonts w:ascii="Arial" w:hAnsi="Arial" w:cs="Arial"/>
          <w:sz w:val="22"/>
          <w:szCs w:val="22"/>
        </w:rPr>
      </w:pPr>
      <w:r w:rsidRPr="00C93847">
        <w:rPr>
          <w:rFonts w:ascii="Arial" w:hAnsi="Arial" w:cs="Arial"/>
          <w:sz w:val="22"/>
          <w:szCs w:val="22"/>
        </w:rPr>
        <w:t>Renishaw, the global engineering technologies company, has been nominated for the Best Technology award at this year’s PLC Awards, which are given annually for smaller (non FTSE 100) companies listed on the London Stock Exchange. The award</w:t>
      </w:r>
      <w:r w:rsidR="00C47F81">
        <w:rPr>
          <w:rFonts w:ascii="Arial" w:hAnsi="Arial" w:cs="Arial"/>
          <w:sz w:val="22"/>
          <w:szCs w:val="22"/>
        </w:rPr>
        <w:t>,</w:t>
      </w:r>
      <w:r w:rsidRPr="00C93847">
        <w:rPr>
          <w:rFonts w:ascii="Arial" w:hAnsi="Arial" w:cs="Arial"/>
          <w:sz w:val="22"/>
          <w:szCs w:val="22"/>
        </w:rPr>
        <w:t xml:space="preserve"> </w:t>
      </w:r>
      <w:r w:rsidR="00C47F81">
        <w:rPr>
          <w:rFonts w:ascii="Arial" w:hAnsi="Arial" w:cs="Arial"/>
          <w:sz w:val="22"/>
          <w:szCs w:val="22"/>
        </w:rPr>
        <w:t xml:space="preserve">which Renishaw last won in 2010, </w:t>
      </w:r>
      <w:r>
        <w:rPr>
          <w:rFonts w:ascii="Arial" w:hAnsi="Arial" w:cs="Arial"/>
          <w:sz w:val="22"/>
          <w:szCs w:val="22"/>
        </w:rPr>
        <w:t xml:space="preserve">is </w:t>
      </w:r>
      <w:r w:rsidRPr="00C93847">
        <w:rPr>
          <w:rFonts w:ascii="Arial" w:hAnsi="Arial" w:cs="Arial"/>
          <w:sz w:val="22"/>
          <w:szCs w:val="22"/>
        </w:rPr>
        <w:t>given to a company whose business growth and success is dependent on, or attributable to, the</w:t>
      </w:r>
      <w:r w:rsidR="00C47F81">
        <w:rPr>
          <w:rFonts w:ascii="Arial" w:hAnsi="Arial" w:cs="Arial"/>
          <w:sz w:val="22"/>
          <w:szCs w:val="22"/>
        </w:rPr>
        <w:t xml:space="preserve"> development of its technology. </w:t>
      </w:r>
    </w:p>
    <w:p w:rsidR="00C47F81" w:rsidRPr="00C47F81" w:rsidRDefault="00C47F81" w:rsidP="001B5863">
      <w:pPr>
        <w:pStyle w:val="NormalWeb"/>
        <w:tabs>
          <w:tab w:val="left" w:pos="10206"/>
        </w:tabs>
        <w:spacing w:line="312" w:lineRule="auto"/>
        <w:ind w:left="567" w:right="565"/>
        <w:rPr>
          <w:rFonts w:ascii="Arial" w:hAnsi="Arial" w:cs="Arial"/>
          <w:sz w:val="22"/>
          <w:szCs w:val="22"/>
        </w:rPr>
      </w:pPr>
      <w:r w:rsidRPr="00C47F81">
        <w:rPr>
          <w:rFonts w:ascii="Arial" w:hAnsi="Arial" w:cs="Arial"/>
          <w:sz w:val="22"/>
          <w:szCs w:val="22"/>
        </w:rPr>
        <w:t>The shortlist for the Best Technology award</w:t>
      </w:r>
      <w:r w:rsidR="004A6B92">
        <w:rPr>
          <w:rFonts w:ascii="Arial" w:hAnsi="Arial" w:cs="Arial"/>
          <w:sz w:val="22"/>
          <w:szCs w:val="22"/>
        </w:rPr>
        <w:t>, which is sponsored by Jefferies,</w:t>
      </w:r>
      <w:r w:rsidRPr="00C47F81">
        <w:rPr>
          <w:rFonts w:ascii="Arial" w:hAnsi="Arial" w:cs="Arial"/>
          <w:sz w:val="22"/>
          <w:szCs w:val="22"/>
        </w:rPr>
        <w:t xml:space="preserve"> </w:t>
      </w:r>
      <w:r>
        <w:rPr>
          <w:rFonts w:ascii="Arial" w:hAnsi="Arial" w:cs="Arial"/>
          <w:sz w:val="22"/>
          <w:szCs w:val="22"/>
        </w:rPr>
        <w:t xml:space="preserve">also contains other leading technology businesses; </w:t>
      </w:r>
      <w:proofErr w:type="spellStart"/>
      <w:r w:rsidRPr="00C47F81">
        <w:rPr>
          <w:rFonts w:ascii="Arial" w:hAnsi="Arial" w:cs="Arial"/>
          <w:sz w:val="22"/>
          <w:szCs w:val="22"/>
        </w:rPr>
        <w:t>Anite</w:t>
      </w:r>
      <w:proofErr w:type="spellEnd"/>
      <w:r w:rsidRPr="00C47F81">
        <w:rPr>
          <w:rFonts w:ascii="Arial" w:hAnsi="Arial" w:cs="Arial"/>
          <w:sz w:val="22"/>
          <w:szCs w:val="22"/>
        </w:rPr>
        <w:t xml:space="preserve">, </w:t>
      </w:r>
      <w:proofErr w:type="spellStart"/>
      <w:r w:rsidRPr="00C47F81">
        <w:rPr>
          <w:rFonts w:ascii="Arial" w:hAnsi="Arial" w:cs="Arial"/>
          <w:sz w:val="22"/>
          <w:szCs w:val="22"/>
        </w:rPr>
        <w:t>Aveva</w:t>
      </w:r>
      <w:proofErr w:type="spellEnd"/>
      <w:r w:rsidRPr="00C47F81">
        <w:rPr>
          <w:rFonts w:ascii="Arial" w:hAnsi="Arial" w:cs="Arial"/>
          <w:sz w:val="22"/>
          <w:szCs w:val="22"/>
        </w:rPr>
        <w:t xml:space="preserve"> Group, AZ Electronic Materials and Oxford Instruments.</w:t>
      </w:r>
      <w:r>
        <w:rPr>
          <w:rFonts w:ascii="Arial" w:hAnsi="Arial" w:cs="Arial"/>
          <w:sz w:val="22"/>
          <w:szCs w:val="22"/>
        </w:rPr>
        <w:t xml:space="preserve"> </w:t>
      </w:r>
    </w:p>
    <w:p w:rsidR="004A6B92" w:rsidRDefault="00C47F81" w:rsidP="001B5863">
      <w:pPr>
        <w:tabs>
          <w:tab w:val="left" w:pos="10206"/>
        </w:tabs>
        <w:spacing w:line="312" w:lineRule="auto"/>
        <w:ind w:left="567" w:right="565"/>
        <w:rPr>
          <w:rFonts w:cs="Arial"/>
          <w:sz w:val="22"/>
          <w:szCs w:val="22"/>
        </w:rPr>
      </w:pPr>
      <w:r>
        <w:rPr>
          <w:rFonts w:cs="Arial"/>
          <w:sz w:val="22"/>
          <w:szCs w:val="22"/>
        </w:rPr>
        <w:t xml:space="preserve">Ben Taylor, Assistant Chief Executive of Renishaw says, “We annually invest </w:t>
      </w:r>
      <w:r w:rsidR="004A6B92">
        <w:rPr>
          <w:rFonts w:cs="Arial"/>
          <w:sz w:val="22"/>
          <w:szCs w:val="22"/>
        </w:rPr>
        <w:t xml:space="preserve">between 14 and 17% of our </w:t>
      </w:r>
      <w:r>
        <w:rPr>
          <w:rFonts w:cs="Arial"/>
          <w:sz w:val="22"/>
          <w:szCs w:val="22"/>
        </w:rPr>
        <w:t xml:space="preserve">revenue </w:t>
      </w:r>
      <w:r w:rsidRPr="006E39B3">
        <w:rPr>
          <w:rFonts w:cs="Arial"/>
          <w:sz w:val="22"/>
          <w:szCs w:val="22"/>
        </w:rPr>
        <w:t xml:space="preserve">into R&amp;D and engineering, and innovative technology is at the heart of our customer solutions for the manufacturing and healthcare sectors. </w:t>
      </w:r>
      <w:r w:rsidR="004A6B92">
        <w:rPr>
          <w:rFonts w:cs="Arial"/>
          <w:sz w:val="22"/>
          <w:szCs w:val="22"/>
        </w:rPr>
        <w:t xml:space="preserve">Whether or not we win this award again, it is great that our achievements in 2012 have already been recognised by a panel of independent experts from the financial community who selected the shortlist.” </w:t>
      </w:r>
    </w:p>
    <w:p w:rsidR="00C93847" w:rsidRPr="00C93847" w:rsidRDefault="00C93847" w:rsidP="001B5863">
      <w:pPr>
        <w:tabs>
          <w:tab w:val="left" w:pos="10206"/>
        </w:tabs>
        <w:spacing w:line="360" w:lineRule="auto"/>
        <w:ind w:left="567" w:right="565"/>
        <w:rPr>
          <w:rFonts w:cs="Arial"/>
          <w:sz w:val="22"/>
          <w:szCs w:val="22"/>
        </w:rPr>
      </w:pPr>
    </w:p>
    <w:p w:rsidR="00C47F81" w:rsidRDefault="00C47F81" w:rsidP="001B5863">
      <w:pPr>
        <w:tabs>
          <w:tab w:val="left" w:pos="10206"/>
        </w:tabs>
        <w:spacing w:line="360" w:lineRule="auto"/>
        <w:ind w:left="567" w:right="565"/>
        <w:rPr>
          <w:rFonts w:cs="Arial"/>
          <w:sz w:val="22"/>
          <w:szCs w:val="22"/>
        </w:rPr>
      </w:pPr>
      <w:r w:rsidRPr="00C93847">
        <w:rPr>
          <w:rFonts w:cs="Arial"/>
          <w:sz w:val="22"/>
          <w:szCs w:val="22"/>
        </w:rPr>
        <w:t xml:space="preserve">The awards will be announced on Thursday </w:t>
      </w:r>
      <w:r>
        <w:rPr>
          <w:rFonts w:cs="Arial"/>
          <w:sz w:val="22"/>
          <w:szCs w:val="22"/>
        </w:rPr>
        <w:t>7</w:t>
      </w:r>
      <w:r w:rsidRPr="00C93847">
        <w:rPr>
          <w:rFonts w:cs="Arial"/>
          <w:sz w:val="22"/>
          <w:szCs w:val="22"/>
          <w:vertAlign w:val="superscript"/>
        </w:rPr>
        <w:t>th</w:t>
      </w:r>
      <w:r>
        <w:rPr>
          <w:rFonts w:cs="Arial"/>
          <w:sz w:val="22"/>
          <w:szCs w:val="22"/>
        </w:rPr>
        <w:t xml:space="preserve"> March 2013</w:t>
      </w:r>
      <w:r w:rsidRPr="00C93847">
        <w:rPr>
          <w:rFonts w:cs="Arial"/>
          <w:sz w:val="22"/>
          <w:szCs w:val="22"/>
        </w:rPr>
        <w:t xml:space="preserve"> at The </w:t>
      </w:r>
      <w:r>
        <w:rPr>
          <w:rFonts w:cs="Arial"/>
          <w:sz w:val="22"/>
          <w:szCs w:val="22"/>
        </w:rPr>
        <w:t xml:space="preserve">Grosvenor House Hotel in London, UK, </w:t>
      </w:r>
      <w:r w:rsidRPr="00A27438">
        <w:rPr>
          <w:rFonts w:cs="Arial"/>
          <w:sz w:val="22"/>
          <w:szCs w:val="22"/>
        </w:rPr>
        <w:t xml:space="preserve">and </w:t>
      </w:r>
      <w:r>
        <w:rPr>
          <w:rFonts w:cs="Arial"/>
          <w:sz w:val="22"/>
          <w:szCs w:val="22"/>
        </w:rPr>
        <w:t xml:space="preserve">will be </w:t>
      </w:r>
      <w:r w:rsidRPr="00A27438">
        <w:rPr>
          <w:rFonts w:cs="Arial"/>
          <w:sz w:val="22"/>
          <w:szCs w:val="22"/>
        </w:rPr>
        <w:t>attended by 1,500 people, from listed companies, investment banks, fund managers, investment analysts and corporate advisors.</w:t>
      </w:r>
    </w:p>
    <w:p w:rsidR="004A6B92" w:rsidRDefault="004A6B92" w:rsidP="001B5863">
      <w:pPr>
        <w:tabs>
          <w:tab w:val="left" w:pos="10206"/>
        </w:tabs>
        <w:spacing w:line="360" w:lineRule="auto"/>
        <w:ind w:left="567" w:right="565"/>
        <w:rPr>
          <w:rFonts w:cs="Arial"/>
          <w:sz w:val="22"/>
          <w:szCs w:val="22"/>
        </w:rPr>
      </w:pPr>
    </w:p>
    <w:p w:rsidR="004A6B92" w:rsidRDefault="004A6B92" w:rsidP="001B5863">
      <w:pPr>
        <w:tabs>
          <w:tab w:val="left" w:pos="10206"/>
        </w:tabs>
        <w:spacing w:line="360" w:lineRule="auto"/>
        <w:ind w:left="567" w:right="565"/>
        <w:rPr>
          <w:rFonts w:cs="Arial"/>
          <w:sz w:val="22"/>
          <w:szCs w:val="22"/>
        </w:rPr>
      </w:pPr>
      <w:r>
        <w:rPr>
          <w:rFonts w:cs="Arial"/>
          <w:sz w:val="22"/>
          <w:szCs w:val="22"/>
        </w:rPr>
        <w:t>Winners of the various</w:t>
      </w:r>
      <w:r w:rsidR="001B5863">
        <w:rPr>
          <w:rFonts w:cs="Arial"/>
          <w:sz w:val="22"/>
          <w:szCs w:val="22"/>
        </w:rPr>
        <w:t xml:space="preserve"> PLC awards are chosen via a 50:</w:t>
      </w:r>
      <w:r>
        <w:rPr>
          <w:rFonts w:cs="Arial"/>
          <w:sz w:val="22"/>
          <w:szCs w:val="22"/>
        </w:rPr>
        <w:t xml:space="preserve">50 split between the expert panel and a public vote, which can be accessed at </w:t>
      </w:r>
      <w:hyperlink r:id="rId10" w:history="1">
        <w:r w:rsidR="001B5863" w:rsidRPr="006934FC">
          <w:rPr>
            <w:rStyle w:val="Hyperlink"/>
            <w:rFonts w:cs="Arial"/>
            <w:sz w:val="22"/>
            <w:szCs w:val="22"/>
          </w:rPr>
          <w:t>www.plc-awards.co.uk/voting/</w:t>
        </w:r>
      </w:hyperlink>
      <w:r w:rsidR="001B5863">
        <w:rPr>
          <w:rFonts w:cs="Arial"/>
          <w:sz w:val="22"/>
          <w:szCs w:val="22"/>
        </w:rPr>
        <w:t xml:space="preserve">  </w:t>
      </w:r>
      <w:r>
        <w:rPr>
          <w:rFonts w:cs="Arial"/>
          <w:sz w:val="22"/>
          <w:szCs w:val="22"/>
        </w:rPr>
        <w:t xml:space="preserve"> </w:t>
      </w:r>
    </w:p>
    <w:p w:rsidR="0095261F" w:rsidRPr="0095261F" w:rsidRDefault="0095261F" w:rsidP="001B5863">
      <w:pPr>
        <w:tabs>
          <w:tab w:val="left" w:pos="10206"/>
        </w:tabs>
        <w:spacing w:line="312" w:lineRule="auto"/>
        <w:ind w:left="567" w:right="565"/>
        <w:jc w:val="center"/>
        <w:rPr>
          <w:sz w:val="22"/>
          <w:szCs w:val="22"/>
          <w:u w:val="single"/>
        </w:rPr>
      </w:pPr>
      <w:r w:rsidRPr="0095261F">
        <w:rPr>
          <w:sz w:val="22"/>
          <w:szCs w:val="22"/>
          <w:u w:val="single"/>
        </w:rPr>
        <w:t>Ends</w:t>
      </w:r>
    </w:p>
    <w:p w:rsidR="006F6D39" w:rsidRDefault="006F6D39" w:rsidP="001B5863">
      <w:pPr>
        <w:tabs>
          <w:tab w:val="left" w:pos="10206"/>
        </w:tabs>
        <w:spacing w:line="360" w:lineRule="auto"/>
        <w:ind w:left="567" w:right="565"/>
        <w:jc w:val="center"/>
        <w:rPr>
          <w:rFonts w:cs="Arial"/>
          <w:u w:val="single"/>
        </w:rPr>
      </w:pPr>
    </w:p>
    <w:p w:rsidR="001B5863" w:rsidRPr="00AF1EFA" w:rsidRDefault="001B5863" w:rsidP="001B5863">
      <w:pPr>
        <w:tabs>
          <w:tab w:val="left" w:pos="10206"/>
        </w:tabs>
        <w:autoSpaceDE w:val="0"/>
        <w:autoSpaceDN w:val="0"/>
        <w:adjustRightInd w:val="0"/>
        <w:spacing w:line="336" w:lineRule="auto"/>
        <w:ind w:left="567" w:right="565"/>
        <w:rPr>
          <w:rFonts w:eastAsia="MS Mincho" w:cs="Arial"/>
          <w:sz w:val="22"/>
          <w:szCs w:val="22"/>
        </w:rPr>
      </w:pPr>
      <w:r w:rsidRPr="00AF1EFA">
        <w:rPr>
          <w:rFonts w:eastAsia="MS Mincho" w:cs="Arial"/>
          <w:b/>
          <w:sz w:val="22"/>
          <w:szCs w:val="22"/>
        </w:rPr>
        <w:t>About Renishaw</w:t>
      </w:r>
    </w:p>
    <w:p w:rsidR="001B5863" w:rsidRDefault="001B5863" w:rsidP="001B5863">
      <w:pPr>
        <w:tabs>
          <w:tab w:val="left" w:pos="10206"/>
        </w:tabs>
        <w:spacing w:line="336" w:lineRule="auto"/>
        <w:ind w:left="567" w:right="565"/>
        <w:rPr>
          <w:rFonts w:cs="Arial"/>
          <w:sz w:val="22"/>
          <w:szCs w:val="22"/>
        </w:rPr>
      </w:pPr>
      <w:r w:rsidRPr="00AF1EFA">
        <w:rPr>
          <w:rFonts w:cs="Arial"/>
          <w:sz w:val="22"/>
          <w:szCs w:val="22"/>
        </w:rPr>
        <w:t xml:space="preserve">UK-based Renishaw is a world leading engineering technologies company, supplying products used for applications as diverse as jet engine and wind turbine manufacture, through to dentistry and brain surgery. It is </w:t>
      </w:r>
      <w:r>
        <w:rPr>
          <w:rFonts w:cs="Arial"/>
          <w:sz w:val="22"/>
          <w:szCs w:val="22"/>
        </w:rPr>
        <w:t>G</w:t>
      </w:r>
      <w:r w:rsidRPr="00AF1EFA">
        <w:rPr>
          <w:rFonts w:cs="Arial"/>
          <w:sz w:val="22"/>
          <w:szCs w:val="22"/>
        </w:rPr>
        <w:t xml:space="preserve">loucestershire’s largest business employer, with </w:t>
      </w:r>
      <w:r>
        <w:rPr>
          <w:rFonts w:cs="Arial"/>
          <w:sz w:val="22"/>
          <w:szCs w:val="22"/>
        </w:rPr>
        <w:t xml:space="preserve">some </w:t>
      </w:r>
      <w:r w:rsidRPr="00AF1EFA">
        <w:rPr>
          <w:rFonts w:cs="Arial"/>
          <w:sz w:val="22"/>
          <w:szCs w:val="22"/>
        </w:rPr>
        <w:t>1,</w:t>
      </w:r>
      <w:r>
        <w:rPr>
          <w:rFonts w:cs="Arial"/>
          <w:sz w:val="22"/>
          <w:szCs w:val="22"/>
        </w:rPr>
        <w:t>750</w:t>
      </w:r>
      <w:r w:rsidRPr="00AF1EFA">
        <w:rPr>
          <w:rFonts w:cs="Arial"/>
          <w:sz w:val="22"/>
          <w:szCs w:val="22"/>
        </w:rPr>
        <w:t xml:space="preserve"> staff based at its five sites in the county, plus a further 1,</w:t>
      </w:r>
      <w:r>
        <w:rPr>
          <w:rFonts w:cs="Arial"/>
          <w:sz w:val="22"/>
          <w:szCs w:val="22"/>
        </w:rPr>
        <w:t>3</w:t>
      </w:r>
      <w:r w:rsidRPr="00AF1EFA">
        <w:rPr>
          <w:rFonts w:cs="Arial"/>
          <w:sz w:val="22"/>
          <w:szCs w:val="22"/>
        </w:rPr>
        <w:t>00 people located in the 32 countries where it has wholly owned subsidiary operations.</w:t>
      </w:r>
      <w:r>
        <w:rPr>
          <w:rFonts w:cs="Arial"/>
          <w:sz w:val="22"/>
          <w:szCs w:val="22"/>
        </w:rPr>
        <w:t xml:space="preserve"> </w:t>
      </w:r>
    </w:p>
    <w:p w:rsidR="001B5863" w:rsidRDefault="001B5863" w:rsidP="001B5863">
      <w:pPr>
        <w:tabs>
          <w:tab w:val="left" w:pos="10206"/>
        </w:tabs>
        <w:spacing w:line="336" w:lineRule="auto"/>
        <w:ind w:left="567" w:right="565"/>
        <w:rPr>
          <w:rFonts w:cs="Arial"/>
          <w:sz w:val="22"/>
          <w:szCs w:val="22"/>
        </w:rPr>
      </w:pPr>
    </w:p>
    <w:p w:rsidR="004A6B92" w:rsidRPr="009C76F0" w:rsidRDefault="004A6B92" w:rsidP="001B5863">
      <w:pPr>
        <w:tabs>
          <w:tab w:val="left" w:pos="10206"/>
        </w:tabs>
        <w:spacing w:line="312" w:lineRule="auto"/>
        <w:ind w:left="567" w:right="565"/>
        <w:rPr>
          <w:rFonts w:cs="Arial"/>
          <w:u w:val="single"/>
        </w:rPr>
      </w:pPr>
      <w:r w:rsidRPr="006E39B3">
        <w:rPr>
          <w:rFonts w:cs="Arial"/>
          <w:bCs/>
          <w:sz w:val="22"/>
          <w:szCs w:val="22"/>
        </w:rPr>
        <w:t xml:space="preserve">More information about Renishaw </w:t>
      </w:r>
      <w:r w:rsidR="001B5863">
        <w:rPr>
          <w:rFonts w:cs="Arial"/>
          <w:bCs/>
          <w:sz w:val="22"/>
          <w:szCs w:val="22"/>
        </w:rPr>
        <w:t xml:space="preserve">and its </w:t>
      </w:r>
      <w:r w:rsidRPr="006E39B3">
        <w:rPr>
          <w:rFonts w:cs="Arial"/>
          <w:bCs/>
          <w:sz w:val="22"/>
          <w:szCs w:val="22"/>
        </w:rPr>
        <w:t xml:space="preserve">products can be found at </w:t>
      </w:r>
      <w:hyperlink r:id="rId11" w:history="1">
        <w:r w:rsidRPr="006E39B3">
          <w:rPr>
            <w:rStyle w:val="Hyperlink"/>
            <w:rFonts w:cs="Arial"/>
            <w:bCs/>
            <w:sz w:val="22"/>
            <w:szCs w:val="22"/>
          </w:rPr>
          <w:t>www.renishaw.com</w:t>
        </w:r>
      </w:hyperlink>
      <w:r w:rsidRPr="006E39B3">
        <w:rPr>
          <w:rFonts w:cs="Arial"/>
          <w:bCs/>
          <w:sz w:val="22"/>
          <w:szCs w:val="22"/>
        </w:rPr>
        <w:t xml:space="preserve">. </w:t>
      </w:r>
    </w:p>
    <w:sectPr w:rsidR="004A6B92" w:rsidRPr="009C76F0" w:rsidSect="00B83348">
      <w:footerReference w:type="default" r:id="rId12"/>
      <w:pgSz w:w="11905" w:h="16837" w:code="9"/>
      <w:pgMar w:top="567" w:right="567" w:bottom="851" w:left="567" w:header="646" w:footer="59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6B92" w:rsidRDefault="004A6B92">
      <w:r>
        <w:separator/>
      </w:r>
    </w:p>
  </w:endnote>
  <w:endnote w:type="continuationSeparator" w:id="0">
    <w:p w:rsidR="004A6B92" w:rsidRDefault="004A6B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B92" w:rsidRPr="00B83348" w:rsidRDefault="004A6B92" w:rsidP="00B83348">
    <w:pPr>
      <w:pStyle w:val="Footer"/>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6B92" w:rsidRDefault="004A6B92">
      <w:r>
        <w:separator/>
      </w:r>
    </w:p>
  </w:footnote>
  <w:footnote w:type="continuationSeparator" w:id="0">
    <w:p w:rsidR="004A6B92" w:rsidRDefault="004A6B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96A6B"/>
    <w:rsid w:val="00072BB5"/>
    <w:rsid w:val="000F4193"/>
    <w:rsid w:val="00153CD3"/>
    <w:rsid w:val="00162718"/>
    <w:rsid w:val="00176583"/>
    <w:rsid w:val="001A74B0"/>
    <w:rsid w:val="001B5863"/>
    <w:rsid w:val="001D0371"/>
    <w:rsid w:val="001E6FCD"/>
    <w:rsid w:val="00220FB5"/>
    <w:rsid w:val="0022172F"/>
    <w:rsid w:val="00232615"/>
    <w:rsid w:val="00277B2E"/>
    <w:rsid w:val="002A5723"/>
    <w:rsid w:val="002C67E7"/>
    <w:rsid w:val="0030206D"/>
    <w:rsid w:val="00324D4A"/>
    <w:rsid w:val="00396A6B"/>
    <w:rsid w:val="003E2427"/>
    <w:rsid w:val="00472008"/>
    <w:rsid w:val="00480236"/>
    <w:rsid w:val="00495320"/>
    <w:rsid w:val="004A6B92"/>
    <w:rsid w:val="005419A1"/>
    <w:rsid w:val="00545E4C"/>
    <w:rsid w:val="0056691F"/>
    <w:rsid w:val="005A128C"/>
    <w:rsid w:val="005B2624"/>
    <w:rsid w:val="005E792E"/>
    <w:rsid w:val="005F0D8A"/>
    <w:rsid w:val="00616627"/>
    <w:rsid w:val="006B2CAB"/>
    <w:rsid w:val="006E1523"/>
    <w:rsid w:val="006E39B3"/>
    <w:rsid w:val="006E612D"/>
    <w:rsid w:val="006F6D39"/>
    <w:rsid w:val="00702649"/>
    <w:rsid w:val="0074617D"/>
    <w:rsid w:val="00774FD9"/>
    <w:rsid w:val="007929C0"/>
    <w:rsid w:val="007C1095"/>
    <w:rsid w:val="007C23CA"/>
    <w:rsid w:val="007C6EC7"/>
    <w:rsid w:val="007D1CD5"/>
    <w:rsid w:val="007E3BEA"/>
    <w:rsid w:val="00890DFF"/>
    <w:rsid w:val="008A5BAE"/>
    <w:rsid w:val="008B41E3"/>
    <w:rsid w:val="008C1C0E"/>
    <w:rsid w:val="008F0A98"/>
    <w:rsid w:val="009145E5"/>
    <w:rsid w:val="00944964"/>
    <w:rsid w:val="009477D9"/>
    <w:rsid w:val="0095261F"/>
    <w:rsid w:val="0097166C"/>
    <w:rsid w:val="00A15B48"/>
    <w:rsid w:val="00A40CE8"/>
    <w:rsid w:val="00A4706B"/>
    <w:rsid w:val="00AB40A5"/>
    <w:rsid w:val="00AC302B"/>
    <w:rsid w:val="00AF3385"/>
    <w:rsid w:val="00B1606A"/>
    <w:rsid w:val="00B62F8E"/>
    <w:rsid w:val="00B76C2B"/>
    <w:rsid w:val="00B83348"/>
    <w:rsid w:val="00BC3C0F"/>
    <w:rsid w:val="00BE407B"/>
    <w:rsid w:val="00BF3985"/>
    <w:rsid w:val="00BF49CE"/>
    <w:rsid w:val="00C046EE"/>
    <w:rsid w:val="00C465A5"/>
    <w:rsid w:val="00C47F81"/>
    <w:rsid w:val="00C93847"/>
    <w:rsid w:val="00C94053"/>
    <w:rsid w:val="00CB72EE"/>
    <w:rsid w:val="00CD68A3"/>
    <w:rsid w:val="00CE29B6"/>
    <w:rsid w:val="00D131A3"/>
    <w:rsid w:val="00D70F17"/>
    <w:rsid w:val="00DD3D5B"/>
    <w:rsid w:val="00DF2654"/>
    <w:rsid w:val="00E056D6"/>
    <w:rsid w:val="00E16E51"/>
    <w:rsid w:val="00E26FB8"/>
    <w:rsid w:val="00E83DE8"/>
    <w:rsid w:val="00E9329E"/>
    <w:rsid w:val="00ED125F"/>
    <w:rsid w:val="00F125B1"/>
    <w:rsid w:val="00F1358F"/>
    <w:rsid w:val="00F2083E"/>
    <w:rsid w:val="00F61BD4"/>
    <w:rsid w:val="00F92F9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46EE"/>
    <w:rPr>
      <w:rFonts w:ascii="Arial" w:hAnsi="Arial"/>
      <w:lang w:eastAsia="ja-JP"/>
    </w:rPr>
  </w:style>
  <w:style w:type="paragraph" w:styleId="Heading1">
    <w:name w:val="heading 1"/>
    <w:basedOn w:val="Normal"/>
    <w:next w:val="Normal"/>
    <w:qFormat/>
    <w:rsid w:val="00C046EE"/>
    <w:pPr>
      <w:keepNext/>
      <w:tabs>
        <w:tab w:val="left" w:pos="-2160"/>
      </w:tabs>
      <w:ind w:left="-540"/>
      <w:outlineLvl w:val="0"/>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C046EE"/>
    <w:pPr>
      <w:tabs>
        <w:tab w:val="left" w:pos="-2160"/>
      </w:tabs>
      <w:ind w:left="-540"/>
    </w:pPr>
    <w:rPr>
      <w:lang w:val="en-US"/>
    </w:rPr>
  </w:style>
  <w:style w:type="paragraph" w:styleId="BodyText">
    <w:name w:val="Body Text"/>
    <w:basedOn w:val="Normal"/>
    <w:rsid w:val="00C046EE"/>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qFormat/>
    <w:rsid w:val="00396A6B"/>
    <w:rPr>
      <w:b/>
      <w:bCs/>
    </w:rPr>
  </w:style>
  <w:style w:type="character" w:styleId="Hyperlink">
    <w:name w:val="Hyperlink"/>
    <w:basedOn w:val="DefaultParagraphFont"/>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95261F"/>
    <w:pPr>
      <w:tabs>
        <w:tab w:val="center" w:pos="4153"/>
        <w:tab w:val="right" w:pos="8306"/>
      </w:tabs>
    </w:pPr>
  </w:style>
  <w:style w:type="paragraph" w:customStyle="1" w:styleId="large">
    <w:name w:val="large"/>
    <w:basedOn w:val="Normal"/>
    <w:rsid w:val="00B76C2B"/>
    <w:pPr>
      <w:spacing w:before="100" w:beforeAutospacing="1" w:after="100" w:afterAutospacing="1"/>
    </w:pPr>
    <w:rPr>
      <w:rFonts w:ascii="Times New Roman" w:eastAsia="MS Mincho" w:hAnsi="Times New Roman"/>
      <w:sz w:val="24"/>
      <w:szCs w:val="24"/>
    </w:rPr>
  </w:style>
  <w:style w:type="character" w:customStyle="1" w:styleId="information">
    <w:name w:val="information"/>
    <w:basedOn w:val="DefaultParagraphFont"/>
    <w:rsid w:val="001A74B0"/>
  </w:style>
  <w:style w:type="character" w:styleId="FollowedHyperlink">
    <w:name w:val="FollowedHyperlink"/>
    <w:basedOn w:val="DefaultParagraphFont"/>
    <w:rsid w:val="001B586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004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plc-awards.co.uk/voting/"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8715F-D264-4852-A568-D5482CC7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Renishaw shortlisted for UK technology award</vt:lpstr>
    </vt:vector>
  </TitlesOfParts>
  <Company>Renishaw PLC</Company>
  <LinksUpToDate>false</LinksUpToDate>
  <CharactersWithSpaces>2244</CharactersWithSpaces>
  <SharedDoc>false</SharedDoc>
  <HLinks>
    <vt:vector size="6" baseType="variant">
      <vt:variant>
        <vt:i4>4915277</vt:i4>
      </vt:variant>
      <vt:variant>
        <vt:i4>0</vt:i4>
      </vt:variant>
      <vt:variant>
        <vt:i4>0</vt:i4>
      </vt:variant>
      <vt:variant>
        <vt:i4>5</vt:i4>
      </vt:variant>
      <vt:variant>
        <vt:lpwstr>http://www.renishaw.com/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shortlisted for UK technology award</dc:title>
  <dc:creator>cp0456</dc:creator>
  <cp:lastModifiedBy>cp0456</cp:lastModifiedBy>
  <cp:revision>2</cp:revision>
  <cp:lastPrinted>2010-10-06T16:14:00Z</cp:lastPrinted>
  <dcterms:created xsi:type="dcterms:W3CDTF">2013-02-12T09:48:00Z</dcterms:created>
  <dcterms:modified xsi:type="dcterms:W3CDTF">2013-02-12T09:48:00Z</dcterms:modified>
</cp:coreProperties>
</file>