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B9" w:rsidRPr="00686AB9" w:rsidRDefault="00686AB9" w:rsidP="00686AB9">
      <w:pPr>
        <w:pStyle w:val="CasestudyTitle24pt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Industrijske merne glave pomažu u istraživanju svemira</w:t>
      </w:r>
    </w:p>
    <w:p w:rsidR="00686AB9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Nakon novih teoretskih saznanja o najmanjim česticama na našoj planeti neki fizičari su počeli da dovode u pitanje princip ekvivalentnosti inercijalne i gravitacione mase.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Da bi istražili ove ideje stručnjaci za proizvodnju u Nemačkom nacionalnom institutu za metrologiju (PTB) iz Braunschweiga razvili su cilindrične testne tegove sa preciznošću svih geometrijskih dimenzija u rasponu od 2 do 3 µm.</w:t>
      </w:r>
    </w:p>
    <w:p w:rsidR="00686AB9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Pr="00DF18DB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Ovakvo tehničko dostignuće ne bi bilo moguće bez mernog rešenja, koje obuhvata visokoprecizan strug Benzinger i mernu glavu OMP400 iz Renishawa.</w:t>
      </w:r>
    </w:p>
    <w:p w:rsidR="00686AB9" w:rsidRPr="00DF18DB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Pr="00686AB9" w:rsidRDefault="00686AB9" w:rsidP="00686AB9">
      <w:pPr>
        <w:pStyle w:val="Default"/>
        <w:rPr>
          <w:b/>
          <w:sz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Pozadina</w:t>
      </w:r>
    </w:p>
    <w:p w:rsidR="00686AB9" w:rsidRPr="00DF18DB" w:rsidRDefault="00686AB9" w:rsidP="00686AB9">
      <w:pPr>
        <w:pStyle w:val="Default"/>
        <w:rPr>
          <w:rFonts w:ascii="Arial" w:hAnsi="Arial" w:cs="Arial"/>
          <w:sz w:val="22"/>
          <w:szCs w:val="22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Inženjeri sada imaju relativno realne izglede za proizvodnju komponenti sa preciznošću 2–3 µm.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Dr. Daniel Hagedorn, vođa projekta i radne grupe za merenje površina u PTB poznaje tehnološka ograničenja: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»Naše mašine danas mogu bez problema da postignu tačnost pozicioniranja od 2 do 3 µm u jednom ili dva pravca.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Za naše testne tegove morali smo obezbediti ovaj visok nivo preciznosti u tri dimenzije, dakle ne samo u pojedinačnim tačkama, već i na površinama, na omotaču cilindra i uglovima.«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Pr="009710CF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Institut PTB je od francuske vladine svemirske agencije dobio porudžbinu za izradu deset cilindričnih testnih tegova za 300-kilogramski minisatelit MICROSCOPE (Micro-Satellite à traînée Compensée pour l’Observation du Principe d’Equivalence).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MICROSCOPE će u saradnji sa drugim partnerima, među kojima je i Evropska svemirska agencija, testirati univerzalnost principa ekvivalentnosti.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Svaki teg je dugačak otprilike 80 mm, spoljni prečnik većih </w:t>
      </w:r>
      <w:r>
        <w:rPr>
          <w:sz w:val="20"/>
          <w:szCs w:val="20"/>
          <w:rFonts w:ascii="Arial" w:hAnsi="Arial"/>
        </w:rPr>
        <w:t xml:space="preserve"> </w:t>
      </w: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cilindara je 70 mm, a manjih cilindara samo 35 mm.</w:t>
      </w:r>
    </w:p>
    <w:p w:rsidR="00686AB9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Pr="009710CF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Cilindri su izrađeni od legure platine i rodijuma (PtRh10), kao i od legure titanijuma, aluminijuma i vanadijuma (TiAl4V6) i za potrebe testiranja su koncentrično postavljeni u diferencijalnom akcelerometru.</w:t>
      </w: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Sa takvom konfiguracijom se garantuje da je moment inercije oba cilindra na istoj osi.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Cilindri od PtRh10 su referentni cilindri, a cilindri od drugog materijala se koriste za merenje ubrzanja i proveru principa ekvivalentnosti gravitacione i inercijalne mase sa tačnošću merenja 10–15 µm.</w:t>
      </w:r>
    </w:p>
    <w:p w:rsidR="00686AB9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rFonts w:ascii="Arial" w:hAnsi="Arial" w:cs="Arial"/>
          <w:b/>
        </w:rPr>
      </w:pPr>
    </w:p>
    <w:p w:rsidR="00686AB9" w:rsidRPr="00686AB9" w:rsidRDefault="00686AB9" w:rsidP="00686AB9">
      <w:pPr>
        <w:pStyle w:val="Default"/>
        <w:rPr>
          <w:b/>
          <w:sz w:val="21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Izrađeni od početka do kraja u jednom neprekidnom procesu</w:t>
      </w:r>
    </w:p>
    <w:p w:rsidR="00686AB9" w:rsidRPr="00DF18DB" w:rsidRDefault="00686AB9" w:rsidP="00686AB9">
      <w:pPr>
        <w:pStyle w:val="Default"/>
        <w:rPr>
          <w:rFonts w:ascii="Arial" w:hAnsi="Arial" w:cs="Arial"/>
          <w:sz w:val="22"/>
          <w:szCs w:val="22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Izrada testnih tegova sa zahtevanim nivoom tačnosti je bio veliki izazov.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Inženjeri su morali da optimizuju radne alate pre nego što je izrada uopšte počela.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Posebno je pri delovima od legure platine i rodijuma dolazilo do lomljenja pojedinih zrna prilikom obrade sa konvencionalnim alatima, zbog čega površina nije odgovarala datoj nameni.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Za pouzdano rešenje za obradu površina sa velikom hrapavošću pokazali su se dijamantski alati izrađeni postupkom elektroerozije sa kojima je postignuta tačnost ispod 0,2 µm.</w:t>
      </w:r>
      <w:r>
        <w:rPr>
          <w:sz w:val="20"/>
          <w:szCs w:val="20"/>
          <w:rFonts w:ascii="Arial" w:hAnsi="Arial"/>
        </w:rPr>
        <w:t xml:space="preserve"> 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Heinz-Peter Heyne i Stephen Metschke iz tima za projektovanje naučnih instrumenata su uskoro shvatili da je zahtevani nivo preciznosti ostvarljiv samo pod uslovom da se celokupni proizvodni proces izvede u jednom koraku, dakle bez skidanja i ponovnog stezanja predmeta obrade.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Šuplje cilindre su zato obradili na visokopreciznom strugu Benzinger TNI Preciline.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Pojedinačne dimenzije su proveravali između proizvodnih koraka na mašini, bez skidanja i ponovnog stezanja predmeta obrade.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Uprkos visokopreciznim stezačima i pažljivom radu u ponovljenim pokušajima je dolazilo do odstupanja reda veličine 0,01 mm.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Da bi zaokružili celokupan proces sa zahtevanim nivoom preciznosti stručnjaci u PTB morali su da integrišu visokoprecizna merenja neposredno u proces obrade.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Glavni cilj je bio da se otklone nesigurnost i nepreciznost zbog zajedničke upotrebe početne tačke tokom obrade i merenja.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Dr. Hagedorn je testirao više industrijskih mernih rešenja različitih proizvođača.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Usredsredio se na poređenje i vrednovanje preciznosti i ponovljivosti rezultata merenja u radnom prostoru strugova.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»Ustanovili smo da je jedino rešenje za postizanje visokih standarda visokoprecizna merna glava kao što je to Renishaw OMP400,« sumira Hagedorn.</w:t>
      </w:r>
    </w:p>
    <w:p w:rsidR="00686AB9" w:rsidRDefault="00686AB9" w:rsidP="00686AB9">
      <w:pPr>
        <w:pStyle w:val="Default"/>
        <w:rPr>
          <w:rFonts w:ascii="Arial" w:hAnsi="Arial" w:cs="Arial"/>
          <w:b/>
        </w:rPr>
      </w:pPr>
    </w:p>
    <w:p w:rsidR="00686AB9" w:rsidRPr="00686AB9" w:rsidRDefault="00686AB9" w:rsidP="00686AB9">
      <w:pPr>
        <w:pStyle w:val="Default"/>
        <w:rPr>
          <w:b/>
          <w:sz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Merna glava OMP400 posle verifikacije postiže tačnost 1 µm</w:t>
      </w:r>
    </w:p>
    <w:p w:rsidR="00686AB9" w:rsidRPr="00686AB9" w:rsidRDefault="00686AB9" w:rsidP="00686AB9">
      <w:pPr>
        <w:pStyle w:val="Default"/>
        <w:rPr>
          <w:rFonts w:ascii="Arial" w:hAnsi="Arial" w:cs="Arial"/>
          <w:sz w:val="18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Merni sistem u glavi OMP400 koristi tehnologiju mernih listića.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Merna glava se odaziva i na najmanje kontaktne sile, nije podložna uticaju sila prilikom vraćanja u početnu tačku nakon okidanja i smanjuje histerezu, koja je tipična za merne aplikacije. Na taj načina se može postići tačnost koja je manja od 5 µm.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Posebna merna rutina sprečava netačnosti do kojih bi moglo doći zbog prebrzog kontakta merne glave sa površinom.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Ako merna glava detektuje interferencije zbog vibracija merne glave, prekida kontakt ili sprečava beleženje izmerene vrednosti.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Heinz-Peter Heyne je svestan da će rezultati merenja biti pouzdani samo pod uslovom da se glava približi tački merenja sa odgovarajućom brzinom.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Kombinovanjem ove tehnologije sa nekoliko drugih tehnika, mogao je sigurno održati ponovljivost merne glave unutar 1 µm.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Merna glava koristi optički (bežični) prenos izmerenih podataka u prijemnik, koji se nalazi u radnom prostoru struga.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CNC-kontroler prima te podatke preko interfejsa i koristi ih za kontrolu i prilagođavanje mernog procesa.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Tim u PTB je razvio i posebno programsko rešenje za prenos izmerenih vrednosti u server, gde se vrednuju i dokumentuju.</w:t>
      </w:r>
    </w:p>
    <w:p w:rsidR="00686AB9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Specijalisti na institutu PTB so upotrebili kompleksan verifikacioni proces za proveru rezultata rešenja sa mernom glavom OMP400 i visokopreciznim strugom.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Nakon obrade više kontura izmerili su rezultate najpre na mašini alatki, a zatim i na koordinatnoj mernoj mašini.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Izmereni su i kalibrisani referentni radni predmeti sa mernom glavom na mašini alatki i na spoljnoj koordinatnoj mernoj mašini.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Poređenjem rezultata merenja dobijeni su podaci za kompenzaciju.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Ovi podaci su iskorišćeni za ažuriranje CNC-kontrolera visokopreciznog struga tokom merenja sa glavom OMP400 u radnom prostoru i tokom obrade kontura.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Poređenje merenja više radnih predmeta sa merenjima na koordinatnoj mernoj mašini je dokazalo da je ostvariva tačnost merenja unutar 1 µm kada je merna glava kalibrisana na ovaj način, a podaci za kompenzaciju iskorišćeni u mernim procesima tokom obrade na strugu (merenja tokom procesa).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Default="00686AB9" w:rsidP="00686AB9">
      <w:pPr>
        <w:pStyle w:val="Defaul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Za određivanje kružnosti i prečnika merna glava je na kružnici merila više od trideset tačaka.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Cilindričnost je izmerena na sličan način pomoću pet merenja na kružnici po celoj dužini cilindra.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Poseban izazov je predstavljalo merenje šest udubljenja za kuglice na čeonoj površini cilindra.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Ova udubljenja vrše ulogu ležišta kada je cilindar postavljen u diferencijalni akcelerometar.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Najveći prečnik kružnih udubljenja je bio samo 1,2 mm. Heinz-Peter Heyne je za merenje udubljenja razvio poseban taster za mernu glavu od silicijumske keramike, čija je veličina jedva 0,3 mm.</w:t>
      </w:r>
    </w:p>
    <w:p w:rsidR="00686AB9" w:rsidRPr="009710CF" w:rsidRDefault="00686AB9" w:rsidP="00686AB9">
      <w:pPr>
        <w:pStyle w:val="Default"/>
        <w:rPr>
          <w:rFonts w:ascii="Arial" w:hAnsi="Arial" w:cs="Arial"/>
          <w:sz w:val="20"/>
          <w:szCs w:val="20"/>
        </w:rPr>
      </w:pPr>
    </w:p>
    <w:p w:rsidR="00686AB9" w:rsidRPr="00686AB9" w:rsidRDefault="00686AB9" w:rsidP="00686AB9">
      <w:pPr>
        <w:pStyle w:val="Default"/>
        <w:rPr>
          <w:b/>
          <w:sz w:val="20"/>
          <w:szCs w:val="22"/>
          <w:rFonts w:ascii="Arial" w:hAnsi="Arial" w:cs="Arial"/>
        </w:rPr>
      </w:pPr>
      <w:r>
        <w:rPr>
          <w:b/>
          <w:sz w:val="20"/>
          <w:szCs w:val="22"/>
          <w:rFonts w:ascii="Arial" w:hAnsi="Arial"/>
        </w:rPr>
        <w:t xml:space="preserve">Iterativna obrada u više koraka za tačnost ±1 µm</w:t>
      </w:r>
    </w:p>
    <w:p w:rsidR="00686AB9" w:rsidRPr="00DF18DB" w:rsidRDefault="00686AB9" w:rsidP="00686AB9">
      <w:pPr>
        <w:pStyle w:val="Default"/>
        <w:rPr>
          <w:rFonts w:ascii="Arial" w:hAnsi="Arial" w:cs="Arial"/>
          <w:sz w:val="22"/>
          <w:szCs w:val="22"/>
        </w:rPr>
      </w:pPr>
    </w:p>
    <w:p w:rsidR="00686AB9" w:rsidRDefault="00686AB9" w:rsidP="00686AB9">
      <w:pPr>
        <w:spacing w:line="276" w:lineRule="auto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Nakon izrade više prototipova za testiranje i poređenje Heinz-Peter Heyne je izradio konačne tegove od legura Pt-Rh i TiAl4V6 po iterativnom postupku.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Najpre je na visokopreciznom strugu u više koraka obradio spoljni prečnik sa dodatkom od otprilike 0,01 mm.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Pošto je obavio i zabeležio merenja sa mernom glavom OMP400, usledila je obrada komponente na konačne dimenzije.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Dr. Hagedorn ponosno saopštava da je metod bio uspešan već iz prvog pokušaja.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»Kao što smo planirali, uspeli smo da postignemo tačnost </w:t>
      </w:r>
      <w:r>
        <w:rPr>
          <w:color w:val="000000"/>
          <w:rFonts w:ascii="Arial" w:hAnsi="Arial"/>
        </w:rPr>
        <w:t xml:space="preserve">±</w:t>
      </w:r>
      <w:r>
        <w:rPr>
          <w:color w:val="000000"/>
          <w:rFonts w:ascii="Arial" w:hAnsi="Arial"/>
        </w:rPr>
        <w:t xml:space="preserve">1 µm za sve karakteristike.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Ključnu ulogu u tom uspehu je odigrala merna glava Renishaw OMP400.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Sa obzirom na to da samo sirovine platina i rodijum koštaju više desetina hiljada evra veoma smo zadovoljni sa ovim rezultatima,« zaključuje Hagedorn.</w:t>
      </w:r>
    </w:p>
    <w:p w:rsidR="00686AB9" w:rsidRDefault="00686AB9" w:rsidP="00686AB9">
      <w:pPr>
        <w:spacing w:line="276" w:lineRule="auto"/>
        <w:rPr>
          <w:rFonts w:ascii="Arial" w:hAnsi="Arial" w:cs="Arial"/>
          <w:color w:val="000000"/>
        </w:rPr>
      </w:pPr>
    </w:p>
    <w:p w:rsidR="00686AB9" w:rsidRPr="00686AB9" w:rsidRDefault="00686AB9" w:rsidP="00686AB9">
      <w:pPr>
        <w:spacing w:line="276" w:lineRule="auto"/>
        <w:rPr>
          <w:b/>
          <w:color w:val="000000"/>
          <w:szCs w:val="22"/>
          <w:rFonts w:ascii="Arial" w:hAnsi="Arial" w:cs="Arial"/>
        </w:rPr>
      </w:pPr>
      <w:r>
        <w:rPr>
          <w:b/>
          <w:color w:val="000000"/>
          <w:szCs w:val="22"/>
          <w:rFonts w:ascii="Arial" w:hAnsi="Arial"/>
        </w:rPr>
        <w:t xml:space="preserve">Princip jednakosti</w:t>
      </w:r>
    </w:p>
    <w:p w:rsidR="00686AB9" w:rsidRDefault="00686AB9" w:rsidP="00686AB9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686AB9" w:rsidRDefault="00686AB9" w:rsidP="00686AB9">
      <w:pPr>
        <w:spacing w:line="276" w:lineRule="auto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Prirodnjak Galileo Galilei je već 1636. godine tvrdio da su inercijalna i gravitaciona masa uvek jednake.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Ova teorija je postala temelj za praktično sve fizičke koncepte, koje danas priznajemo, uključujući i Einsteinovu teoriju relativnosti.</w:t>
      </w:r>
    </w:p>
    <w:p w:rsidR="00686AB9" w:rsidRPr="009710CF" w:rsidRDefault="00686AB9" w:rsidP="00686AB9">
      <w:pPr>
        <w:spacing w:line="276" w:lineRule="auto"/>
        <w:rPr>
          <w:rFonts w:ascii="Arial" w:hAnsi="Arial" w:cs="Arial"/>
          <w:color w:val="000000"/>
        </w:rPr>
      </w:pPr>
    </w:p>
    <w:p w:rsidR="00686AB9" w:rsidRDefault="00686AB9" w:rsidP="00686AB9">
      <w:pPr>
        <w:spacing w:line="276" w:lineRule="auto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Prema ovoj teoriji masa se uvek odaziva na isti način kada se podvrgne delovanju sile gravitacije ili ubrzanja.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Jednostavnije rečeno: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u vakuumu (čime je otklonjen uticaj vazdušnog otpora) komad olova i pero će od početka ubrzanja pasti na pod za isto vreme.</w:t>
      </w:r>
    </w:p>
    <w:p w:rsidR="00686AB9" w:rsidRPr="009710CF" w:rsidRDefault="00686AB9" w:rsidP="00686AB9">
      <w:pPr>
        <w:spacing w:line="276" w:lineRule="auto"/>
        <w:rPr>
          <w:rFonts w:ascii="Arial" w:hAnsi="Arial" w:cs="Arial"/>
          <w:color w:val="000000"/>
        </w:rPr>
      </w:pPr>
    </w:p>
    <w:p w:rsidR="00686AB9" w:rsidRDefault="00686AB9" w:rsidP="00686AB9">
      <w:pPr>
        <w:spacing w:line="276" w:lineRule="auto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Najnovija istraživanja najmanjih čestica na našoj planeti pokazuju da princip jednakosti možda ne važi ako ga merimo sa dovoljno visokom preciznošću ispod 10–12 µm.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Ova pitanja bi trebalo da razjasni evropska svemirska misija MICROSCOPE.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Dva tega tačnih i poznatih dimenzija izrađena od materijala različite gustine će daleko od uticaja smetnji na Zemlji biti bačeni u bestežinsku sredinu visokog vakuuma.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Visokoprecizni akcelerometri će izmeriti njihovu reakciju.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Za ovaj eksperiment je Institut PTB iz Braunschweiga izradio cilindrične tegove.</w:t>
      </w:r>
    </w:p>
    <w:p w:rsidR="00686AB9" w:rsidRPr="009710CF" w:rsidRDefault="00686AB9" w:rsidP="00686AB9">
      <w:pPr>
        <w:spacing w:line="276" w:lineRule="auto"/>
        <w:rPr>
          <w:rFonts w:ascii="Arial" w:hAnsi="Arial" w:cs="Arial"/>
          <w:color w:val="000000"/>
        </w:rPr>
      </w:pPr>
    </w:p>
    <w:p w:rsidR="00686AB9" w:rsidRDefault="00686AB9" w:rsidP="00686AB9">
      <w:pPr>
        <w:spacing w:line="276" w:lineRule="auto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Zbog visoke preciznosti koju su postigli tokom izrade – od 1 µm do 2 µm za dimenzije, ravnost, cilindričnost (koncentričnost), paralelnost i nagib svih susednih površina na cilindru – dimenzije cilindra je moguće utvrditi sa tačnošću do 10–15 µm.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Fizičari u svemirskoj laboratoriji će tako sa izuzetnim stepenom preciznosti moći da izmere reakciju različitih cilindara na ubrzanje.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Ako ustanove da postoje razlike u reakcijama, ovaj eksperiment može pokrenuti revoluciju u razmišljanju o fizici čvrste materije.</w:t>
      </w:r>
    </w:p>
    <w:p w:rsidR="00686AB9" w:rsidRDefault="00686AB9" w:rsidP="00686AB9">
      <w:pPr>
        <w:spacing w:line="276" w:lineRule="auto"/>
        <w:rPr>
          <w:rFonts w:ascii="Arial" w:hAnsi="Arial" w:cs="Arial"/>
        </w:rPr>
      </w:pPr>
    </w:p>
    <w:p w:rsidR="00686AB9" w:rsidRPr="00DF18DB" w:rsidRDefault="00686AB9" w:rsidP="00686AB9">
      <w:pPr>
        <w:spacing w:line="276" w:lineRule="auto"/>
        <w:rPr>
          <w:rFonts w:ascii="Arial" w:hAnsi="Arial" w:cs="Arial"/>
        </w:rPr>
      </w:pPr>
      <w:r>
        <w:t xml:space="preserve">Za više informacija posetite </w:t>
      </w:r>
      <w:hyperlink r:id="rId8" w:history="1">
        <w:r>
          <w:rPr>
            <w:rStyle w:val="Hyperlink"/>
            <w:rFonts w:ascii="Arial" w:hAnsi="Arial"/>
          </w:rPr>
          <w:t xml:space="preserve">www.renishaw.com/ptb</w:t>
        </w:r>
      </w:hyperlink>
    </w:p>
    <w:p w:rsidR="00686AB9" w:rsidRDefault="00686AB9" w:rsidP="00686AB9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86AB9" w:rsidRDefault="00686AB9" w:rsidP="00686AB9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-Ends-</w:t>
      </w:r>
    </w:p>
    <w:sectPr w:rsidR="0006668E" w:rsidRPr="00686AB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86AB9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CFB60A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r-Latn-R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r-Latn-R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r-Latn-R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Default">
    <w:name w:val="Default"/>
    <w:rsid w:val="00686AB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asestudyTitle24pt">
    <w:name w:val="Case study: Title 24pt"/>
    <w:basedOn w:val="Normal"/>
    <w:uiPriority w:val="99"/>
    <w:rsid w:val="00686AB9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ascii="Helvetica Medium" w:hAnsi="Helvetica Medium" w:cs="Helvetica Medium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www.renishaw.com/pt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1547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10194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2015-06-24T10:58:00Z</dcterms:created>
  <dcterms:modified xsi:type="dcterms:W3CDTF">2017-10-17T08:34:00Z</dcterms:modified>
</cp:coreProperties>
</file>