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4"/>
        <w:gridCol w:w="3474"/>
        <w:gridCol w:w="3046"/>
      </w:tblGrid>
      <w:tr w:rsidR="00DB5129" w:rsidRPr="00DB5129" w14:paraId="351CB617" w14:textId="77777777" w:rsidTr="00240250">
        <w:tc>
          <w:tcPr>
            <w:tcW w:w="3854" w:type="dxa"/>
          </w:tcPr>
          <w:p w14:paraId="164EA28A" w14:textId="77777777" w:rsidR="00DB5129" w:rsidRPr="00DB5129" w:rsidRDefault="00DB5129" w:rsidP="00DB5129">
            <w:pPr>
              <w:suppressAutoHyphens/>
              <w:adjustRightInd w:val="0"/>
              <w:spacing w:before="60" w:after="60"/>
              <w:textAlignment w:val="center"/>
              <w:rPr>
                <w:rFonts w:ascii="Arial" w:hAnsi="Arial" w:cs="Arial-BoldMT"/>
                <w:bCs/>
                <w:color w:val="007E39"/>
                <w:sz w:val="8"/>
                <w:szCs w:val="8"/>
                <w14:cntxtAlts/>
              </w:rPr>
            </w:pPr>
          </w:p>
        </w:tc>
        <w:tc>
          <w:tcPr>
            <w:tcW w:w="3474" w:type="dxa"/>
          </w:tcPr>
          <w:p w14:paraId="61BE34F0" w14:textId="77777777" w:rsidR="00DB5129" w:rsidRPr="00DB5129" w:rsidRDefault="00DB5129" w:rsidP="00DB5129">
            <w:pPr>
              <w:suppressAutoHyphens/>
              <w:adjustRightInd w:val="0"/>
              <w:spacing w:before="60" w:after="60"/>
              <w:textAlignment w:val="center"/>
              <w:rPr>
                <w:rFonts w:ascii="Arial" w:hAnsi="Arial" w:cs="Arial-BoldMT"/>
                <w:bCs/>
                <w:color w:val="007E39"/>
                <w:sz w:val="8"/>
                <w:szCs w:val="8"/>
                <w14:cntxtAlts/>
              </w:rPr>
            </w:pPr>
          </w:p>
        </w:tc>
        <w:tc>
          <w:tcPr>
            <w:tcW w:w="3046" w:type="dxa"/>
          </w:tcPr>
          <w:p w14:paraId="5901CCDA" w14:textId="77777777" w:rsidR="00DB5129" w:rsidRPr="00DB5129" w:rsidRDefault="00DB5129" w:rsidP="00DB5129">
            <w:pPr>
              <w:suppressAutoHyphens/>
              <w:adjustRightInd w:val="0"/>
              <w:spacing w:before="60" w:after="300"/>
              <w:textAlignment w:val="center"/>
              <w:rPr>
                <w:rFonts w:ascii="Arial" w:hAnsi="Arial" w:cs="Arial-BoldMT"/>
                <w:bCs/>
                <w:color w:val="007E39"/>
                <w:sz w:val="8"/>
                <w:szCs w:val="8"/>
                <w14:cntxtAlts/>
              </w:rPr>
            </w:pPr>
          </w:p>
        </w:tc>
      </w:tr>
    </w:tbl>
    <w:p w14:paraId="2982639A" w14:textId="77777777" w:rsidR="00DB5129" w:rsidRPr="00DB5129" w:rsidRDefault="00DB5129" w:rsidP="00DB5129">
      <w:pPr>
        <w:widowControl w:val="0"/>
        <w:autoSpaceDE w:val="0"/>
        <w:autoSpaceDN w:val="0"/>
        <w:spacing w:before="120" w:after="120"/>
        <w:rPr>
          <w:rFonts w:ascii="Arial" w:eastAsia="Arial" w:hAnsi="Arial" w:cs="Arial"/>
          <w:b/>
          <w:color w:val="A33333"/>
          <w:sz w:val="20"/>
          <w:lang w:val="en-US" w:eastAsia="en-US"/>
        </w:rPr>
      </w:pPr>
      <w:r w:rsidRPr="00DB5129">
        <w:rPr>
          <w:rFonts w:ascii="Arial" w:eastAsia="Arial" w:hAnsi="Arial" w:cs="Arial"/>
          <w:b/>
          <w:color w:val="A33333"/>
          <w:sz w:val="20"/>
          <w:lang w:val="en-US" w:eastAsia="en-US"/>
        </w:rPr>
        <w:t>January 2025</w:t>
      </w:r>
    </w:p>
    <w:p w14:paraId="0A33DD38" w14:textId="77777777" w:rsidR="00DB5129" w:rsidRPr="00DB5129" w:rsidRDefault="00DB5129" w:rsidP="00DB5129">
      <w:pPr>
        <w:widowControl w:val="0"/>
        <w:autoSpaceDE w:val="0"/>
        <w:autoSpaceDN w:val="0"/>
        <w:spacing w:before="120" w:after="120"/>
        <w:rPr>
          <w:rFonts w:ascii="Arial" w:eastAsia="Arial" w:hAnsi="Arial" w:cs="Arial"/>
          <w:b/>
          <w:color w:val="A33333"/>
          <w:sz w:val="32"/>
          <w:szCs w:val="32"/>
          <w:lang w:val="en-US" w:eastAsia="en-US"/>
        </w:rPr>
      </w:pPr>
      <w:r w:rsidRPr="00DB5129">
        <w:rPr>
          <w:rFonts w:ascii="Arial" w:eastAsia="Arial" w:hAnsi="Arial" w:cs="Arial"/>
          <w:b/>
          <w:color w:val="A33333"/>
          <w:sz w:val="32"/>
          <w:szCs w:val="32"/>
          <w:lang w:val="en-US" w:eastAsia="en-US"/>
        </w:rPr>
        <w:t xml:space="preserve">Renishaw Pension Fund (“Fund”) </w:t>
      </w:r>
    </w:p>
    <w:p w14:paraId="02BA71C2"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We previously notified you that we had signed an agreement with the insurance company Scottish Widows Limited (“</w:t>
      </w:r>
      <w:r w:rsidRPr="00DB5129">
        <w:rPr>
          <w:rFonts w:ascii="Arial" w:eastAsia="Arial" w:hAnsi="Arial" w:cs="ArialMT"/>
          <w:b/>
          <w:bCs/>
          <w:color w:val="231F20"/>
          <w:sz w:val="20"/>
          <w:lang w:val="en-US" w:eastAsia="en-US"/>
        </w:rPr>
        <w:t>Scottish Widows</w:t>
      </w:r>
      <w:r w:rsidRPr="00DB5129">
        <w:rPr>
          <w:rFonts w:ascii="Arial" w:eastAsia="Arial" w:hAnsi="Arial" w:cs="ArialMT"/>
          <w:color w:val="231F20"/>
          <w:sz w:val="20"/>
          <w:lang w:val="en-US" w:eastAsia="en-US"/>
        </w:rPr>
        <w:t>”) to secure your pension benefits. This agreement is referred to as a ‘Buy-In policy’. We want to let you know that Scottish Widows are proposing to transfer this Buy-In policy to Rothesay Life Plc (“</w:t>
      </w:r>
      <w:r w:rsidRPr="00DB5129">
        <w:rPr>
          <w:rFonts w:ascii="Arial" w:eastAsia="Arial" w:hAnsi="Arial" w:cs="ArialMT"/>
          <w:b/>
          <w:bCs/>
          <w:color w:val="231F20"/>
          <w:sz w:val="20"/>
          <w:lang w:val="en-US" w:eastAsia="en-US"/>
        </w:rPr>
        <w:t>Rothesay</w:t>
      </w:r>
      <w:r w:rsidRPr="00DB5129">
        <w:rPr>
          <w:rFonts w:ascii="Arial" w:eastAsia="Arial" w:hAnsi="Arial" w:cs="ArialMT"/>
          <w:color w:val="231F20"/>
          <w:sz w:val="20"/>
          <w:lang w:val="en-US" w:eastAsia="en-US"/>
        </w:rPr>
        <w:t xml:space="preserve">”). </w:t>
      </w:r>
    </w:p>
    <w:p w14:paraId="45AACCBC" w14:textId="77777777" w:rsidR="00DB5129" w:rsidRPr="00DB5129" w:rsidRDefault="00DB5129" w:rsidP="00DB5129">
      <w:pPr>
        <w:widowControl w:val="0"/>
        <w:suppressAutoHyphens/>
        <w:autoSpaceDE w:val="0"/>
        <w:autoSpaceDN w:val="0"/>
        <w:adjustRightInd w:val="0"/>
        <w:spacing w:line="1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In March 2024, Scottish Widows agreed to transfer its bulk purchase annuities business to Rothesay, subject to appropriate approvals. A bulk purchase annuity is an insurance policy taken out by the trustees of a defined benefit pension scheme to transfer some or </w:t>
      </w:r>
      <w:proofErr w:type="gramStart"/>
      <w:r w:rsidRPr="00DB5129">
        <w:rPr>
          <w:rFonts w:ascii="Arial" w:eastAsia="Arial" w:hAnsi="Arial" w:cs="ArialMT"/>
          <w:color w:val="231F20"/>
          <w:sz w:val="20"/>
          <w:lang w:val="en-US" w:eastAsia="en-US"/>
        </w:rPr>
        <w:t>all of</w:t>
      </w:r>
      <w:proofErr w:type="gramEnd"/>
      <w:r w:rsidRPr="00DB5129">
        <w:rPr>
          <w:rFonts w:ascii="Arial" w:eastAsia="Arial" w:hAnsi="Arial" w:cs="ArialMT"/>
          <w:color w:val="231F20"/>
          <w:sz w:val="20"/>
          <w:lang w:val="en-US" w:eastAsia="en-US"/>
        </w:rPr>
        <w:t xml:space="preserve"> its liabilities to the insurer. It is referred to as 'bulk' as it usually covers more than one beneficiary.</w:t>
      </w:r>
    </w:p>
    <w:p w14:paraId="447D170D" w14:textId="77777777" w:rsidR="00DB5129" w:rsidRPr="00DB5129" w:rsidRDefault="00DB5129" w:rsidP="00DB5129">
      <w:pPr>
        <w:widowControl w:val="0"/>
        <w:suppressAutoHyphens/>
        <w:autoSpaceDE w:val="0"/>
        <w:autoSpaceDN w:val="0"/>
        <w:adjustRightInd w:val="0"/>
        <w:spacing w:line="160" w:lineRule="atLeast"/>
        <w:textAlignment w:val="center"/>
        <w:rPr>
          <w:rFonts w:ascii="Arial" w:eastAsia="Arial" w:hAnsi="Arial" w:cs="ArialMT"/>
          <w:color w:val="231F20"/>
          <w:szCs w:val="22"/>
          <w:lang w:val="en-US" w:eastAsia="en-US"/>
        </w:rPr>
      </w:pPr>
    </w:p>
    <w:p w14:paraId="0DEA1489"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Under the terms of the proposed transfer, this will include the transfer of the Buy-In policy we hold with Scottish Widows. </w:t>
      </w:r>
    </w:p>
    <w:p w14:paraId="682271D5"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Rothesay is a UK insurance company </w:t>
      </w:r>
      <w:proofErr w:type="spellStart"/>
      <w:r w:rsidRPr="00DB5129">
        <w:rPr>
          <w:rFonts w:ascii="Arial" w:eastAsia="Arial" w:hAnsi="Arial" w:cs="ArialMT"/>
          <w:color w:val="231F20"/>
          <w:sz w:val="20"/>
          <w:lang w:val="en-US" w:eastAsia="en-US"/>
        </w:rPr>
        <w:t>authorised</w:t>
      </w:r>
      <w:proofErr w:type="spellEnd"/>
      <w:r w:rsidRPr="00DB5129">
        <w:rPr>
          <w:rFonts w:ascii="Arial" w:eastAsia="Arial" w:hAnsi="Arial" w:cs="ArialMT"/>
          <w:color w:val="231F20"/>
          <w:sz w:val="20"/>
          <w:lang w:val="en-US" w:eastAsia="en-US"/>
        </w:rPr>
        <w:t xml:space="preserve"> by the Prudential Regulation Authority (“</w:t>
      </w:r>
      <w:r w:rsidRPr="00DB5129">
        <w:rPr>
          <w:rFonts w:ascii="Arial" w:eastAsia="Arial" w:hAnsi="Arial" w:cs="ArialMT"/>
          <w:b/>
          <w:bCs/>
          <w:color w:val="231F20"/>
          <w:sz w:val="20"/>
          <w:lang w:val="en-US" w:eastAsia="en-US"/>
        </w:rPr>
        <w:t>PRA</w:t>
      </w:r>
      <w:r w:rsidRPr="00DB5129">
        <w:rPr>
          <w:rFonts w:ascii="Arial" w:eastAsia="Arial" w:hAnsi="Arial" w:cs="ArialMT"/>
          <w:color w:val="231F20"/>
          <w:sz w:val="20"/>
          <w:lang w:val="en-US" w:eastAsia="en-US"/>
        </w:rPr>
        <w:t>”) and regulated by the Financial Conduct Authority (“</w:t>
      </w:r>
      <w:r w:rsidRPr="00DB5129">
        <w:rPr>
          <w:rFonts w:ascii="Arial" w:eastAsia="Arial" w:hAnsi="Arial" w:cs="ArialMT"/>
          <w:b/>
          <w:bCs/>
          <w:color w:val="231F20"/>
          <w:sz w:val="20"/>
          <w:lang w:val="en-US" w:eastAsia="en-US"/>
        </w:rPr>
        <w:t>FCA</w:t>
      </w:r>
      <w:r w:rsidRPr="00DB5129">
        <w:rPr>
          <w:rFonts w:ascii="Arial" w:eastAsia="Arial" w:hAnsi="Arial" w:cs="ArialMT"/>
          <w:color w:val="231F20"/>
          <w:sz w:val="20"/>
          <w:lang w:val="en-US" w:eastAsia="en-US"/>
        </w:rPr>
        <w:t>”) and PRA. You can find more information about Rothesay on their website www.rothesay.com.</w:t>
      </w:r>
    </w:p>
    <w:p w14:paraId="0C75DCB6"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There is a set legal process to go through before the transfer can proceed. This legal process will conclude with a hearing at the High Court, where the High Court will decide whether to approve the transfer. This letter</w:t>
      </w:r>
      <w:r w:rsidRPr="00DB5129">
        <w:rPr>
          <w:rFonts w:ascii="Arial" w:eastAsia="Arial" w:hAnsi="Arial" w:cs="ArialMT"/>
          <w:color w:val="FF0000"/>
          <w:sz w:val="20"/>
          <w:lang w:val="en-US" w:eastAsia="en-US"/>
        </w:rPr>
        <w:t xml:space="preserve"> </w:t>
      </w:r>
      <w:r w:rsidRPr="00DB5129">
        <w:rPr>
          <w:rFonts w:ascii="Arial" w:eastAsia="Arial" w:hAnsi="Arial" w:cs="ArialMT"/>
          <w:color w:val="231F20"/>
          <w:sz w:val="20"/>
          <w:lang w:val="en-US" w:eastAsia="en-US"/>
        </w:rPr>
        <w:t xml:space="preserve">includes details about the proposed transfer and what this means for you and for the Buy-In policy we hold with Scottish Widows. </w:t>
      </w:r>
    </w:p>
    <w:p w14:paraId="20A0EDEA" w14:textId="77777777" w:rsidR="00DB5129" w:rsidRPr="00DB5129" w:rsidRDefault="00DB5129" w:rsidP="00DB5129">
      <w:pPr>
        <w:widowControl w:val="0"/>
        <w:autoSpaceDE w:val="0"/>
        <w:autoSpaceDN w:val="0"/>
        <w:spacing w:before="171" w:after="60"/>
        <w:outlineLvl w:val="3"/>
        <w:rPr>
          <w:rFonts w:ascii="Arial" w:eastAsia="Arial" w:hAnsi="Arial" w:cs="Arial"/>
          <w:b/>
          <w:bCs/>
          <w:color w:val="912227"/>
          <w:kern w:val="24"/>
          <w:sz w:val="24"/>
          <w:szCs w:val="24"/>
          <w:lang w:val="en-US" w:eastAsia="en-US"/>
        </w:rPr>
      </w:pPr>
      <w:r w:rsidRPr="00DB5129">
        <w:rPr>
          <w:rFonts w:ascii="Arial" w:eastAsia="Arial" w:hAnsi="Arial" w:cs="Arial"/>
          <w:b/>
          <w:bCs/>
          <w:color w:val="912227"/>
          <w:kern w:val="24"/>
          <w:sz w:val="24"/>
          <w:szCs w:val="24"/>
          <w:lang w:val="en-US" w:eastAsia="en-US"/>
        </w:rPr>
        <w:t>What this means for you</w:t>
      </w:r>
    </w:p>
    <w:p w14:paraId="58D3DB89"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The proposed transfer does not involve the transfer of our obligations in relation to your pension to Rothesay. We will continue to be the Trustee of the Fund after the transfer, and the transfer will not affect the role we play or our responsibilities to you. The proposed transfer also does not impact the terms of the Buy-In policy we hold with Scottish Widows. </w:t>
      </w:r>
    </w:p>
    <w:p w14:paraId="5299F315"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Whether or not the transfer goes ahead, there will be no change to:</w:t>
      </w:r>
    </w:p>
    <w:p w14:paraId="770F3E13" w14:textId="77777777" w:rsidR="00DB5129" w:rsidRPr="00DB5129" w:rsidRDefault="00DB5129" w:rsidP="00DB5129">
      <w:pPr>
        <w:widowControl w:val="0"/>
        <w:numPr>
          <w:ilvl w:val="0"/>
          <w:numId w:val="24"/>
        </w:numPr>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your benefit </w:t>
      </w:r>
      <w:proofErr w:type="gramStart"/>
      <w:r w:rsidRPr="00DB5129">
        <w:rPr>
          <w:rFonts w:ascii="Arial" w:eastAsia="Arial" w:hAnsi="Arial" w:cs="ArialMT"/>
          <w:color w:val="231F20"/>
          <w:sz w:val="20"/>
          <w:lang w:val="en-US" w:eastAsia="en-US"/>
        </w:rPr>
        <w:t>entitlements;</w:t>
      </w:r>
      <w:proofErr w:type="gramEnd"/>
    </w:p>
    <w:p w14:paraId="1ECD49C1" w14:textId="77777777" w:rsidR="00DB5129" w:rsidRPr="00DB5129" w:rsidRDefault="00DB5129" w:rsidP="00DB5129">
      <w:pPr>
        <w:widowControl w:val="0"/>
        <w:numPr>
          <w:ilvl w:val="0"/>
          <w:numId w:val="24"/>
        </w:numPr>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the payment timings or frequency of pension payments; or</w:t>
      </w:r>
    </w:p>
    <w:p w14:paraId="4493257D" w14:textId="77777777" w:rsidR="00DB5129" w:rsidRPr="00DB5129" w:rsidRDefault="00DB5129" w:rsidP="00DB5129">
      <w:pPr>
        <w:widowControl w:val="0"/>
        <w:numPr>
          <w:ilvl w:val="0"/>
          <w:numId w:val="24"/>
        </w:numPr>
        <w:suppressAutoHyphens/>
        <w:autoSpaceDE w:val="0"/>
        <w:autoSpaceDN w:val="0"/>
        <w:adjustRightInd w:val="0"/>
        <w:spacing w:after="240" w:line="260" w:lineRule="atLeast"/>
        <w:textAlignment w:val="center"/>
        <w:rPr>
          <w:rFonts w:ascii="Arial" w:eastAsia="Arial" w:hAnsi="Arial" w:cs="ArialMT"/>
          <w:i/>
          <w:iCs/>
          <w:color w:val="231F20"/>
          <w:sz w:val="20"/>
          <w:lang w:val="en-US" w:eastAsia="en-US"/>
        </w:rPr>
      </w:pPr>
      <w:r w:rsidRPr="00DB5129">
        <w:rPr>
          <w:rFonts w:ascii="Arial" w:eastAsia="Arial" w:hAnsi="Arial" w:cs="ArialMT"/>
          <w:color w:val="231F20"/>
          <w:sz w:val="20"/>
          <w:lang w:val="en-US" w:eastAsia="en-US"/>
        </w:rPr>
        <w:t>any eligible benefits payable to your beneficiaries on your death.</w:t>
      </w:r>
    </w:p>
    <w:p w14:paraId="5C1204F9" w14:textId="77777777" w:rsidR="00DB5129" w:rsidRPr="00DB5129" w:rsidRDefault="00DB5129" w:rsidP="00DB5129">
      <w:pPr>
        <w:widowControl w:val="0"/>
        <w:autoSpaceDE w:val="0"/>
        <w:autoSpaceDN w:val="0"/>
        <w:spacing w:before="171" w:after="60"/>
        <w:outlineLvl w:val="3"/>
        <w:rPr>
          <w:rFonts w:ascii="Arial" w:eastAsia="Arial" w:hAnsi="Arial" w:cs="Arial"/>
          <w:b/>
          <w:bCs/>
          <w:caps/>
          <w:color w:val="912227"/>
          <w:kern w:val="24"/>
          <w:sz w:val="24"/>
          <w:szCs w:val="24"/>
          <w:lang w:val="en-US" w:eastAsia="en-US"/>
        </w:rPr>
      </w:pPr>
      <w:r w:rsidRPr="00DB5129">
        <w:rPr>
          <w:rFonts w:ascii="Arial" w:eastAsia="Arial" w:hAnsi="Arial" w:cs="Arial"/>
          <w:b/>
          <w:bCs/>
          <w:color w:val="912227"/>
          <w:kern w:val="24"/>
          <w:sz w:val="24"/>
          <w:szCs w:val="24"/>
          <w:lang w:val="en-US" w:eastAsia="en-US"/>
        </w:rPr>
        <w:t>Legal process and your right to object</w:t>
      </w:r>
    </w:p>
    <w:p w14:paraId="3A55B91F"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Scottish Widows and Rothesay must follow a rigorous legal process which is designed to ensure that all relevant parties, including affected pension scheme members or beneficiaries are treated fairly. This includes providing a detailed explanation of what is happening to all relevant parties, appointing an Independent Expert to assess the impact of the transfer on policyholders (which includes affected underlying pension scheme members or beneficiaries) and consulting with the regulators. </w:t>
      </w:r>
    </w:p>
    <w:p w14:paraId="05ABACFD" w14:textId="77777777" w:rsid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The transfer also needs to be approved by the High Court in London. You have the right to raise your concerns or object in the High Court if you believe the proposed transfer of our Buy-In policy to Rothesay could adversely affect you. The High Court will only approve the transfer if they are satisfied, having considered the views of the Independent Expert and the regulators, that the transfer meets all necessary legal requirements and has no material adverse effect on policyholders. The High Court will take all objections into account in reaching their decision. </w:t>
      </w:r>
    </w:p>
    <w:p w14:paraId="218ACB37" w14:textId="77777777" w:rsid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52DC2D35"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26180768"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If you believe that you may be adversely affected by the transfer of our Buy-In policy to Rothesay and you would like to object, you can make your objection by contacting us (and we will pass your objection on to Scottish Widows) or by contacting Scottish Widows directly using the details set out below. Scottish Widows will let the High Court, Independent Expert and regulators know about any objections received. You may also attend and present your objection at the High Court hearing in </w:t>
      </w:r>
      <w:proofErr w:type="gramStart"/>
      <w:r w:rsidRPr="00DB5129">
        <w:rPr>
          <w:rFonts w:ascii="Arial" w:eastAsia="Arial" w:hAnsi="Arial" w:cs="ArialMT"/>
          <w:color w:val="231F20"/>
          <w:sz w:val="20"/>
          <w:lang w:val="en-US" w:eastAsia="en-US"/>
        </w:rPr>
        <w:t>person</w:t>
      </w:r>
      <w:proofErr w:type="gramEnd"/>
      <w:r w:rsidRPr="00DB5129">
        <w:rPr>
          <w:rFonts w:ascii="Arial" w:eastAsia="Arial" w:hAnsi="Arial" w:cs="ArialMT"/>
          <w:color w:val="231F20"/>
          <w:sz w:val="20"/>
          <w:lang w:val="en-US" w:eastAsia="en-US"/>
        </w:rPr>
        <w:t xml:space="preserve"> or an appropriate representative can present your objection on your behalf. If you wish to attend the High Court hearing, it would be helpful if you could get in touch with us or directly with Scottish Widows using the details set out below as soon as possible and preferably before 30 April 2025 setting out your grounds of objection and how you may be adversely affected. </w:t>
      </w:r>
    </w:p>
    <w:p w14:paraId="02E0DBAE"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07584CD9" w14:textId="77777777" w:rsidR="00DB5129" w:rsidRPr="00DB5129" w:rsidRDefault="00DB5129" w:rsidP="00DB5129">
      <w:pPr>
        <w:widowControl w:val="0"/>
        <w:autoSpaceDE w:val="0"/>
        <w:autoSpaceDN w:val="0"/>
        <w:spacing w:after="120" w:line="260" w:lineRule="atLeast"/>
        <w:outlineLvl w:val="3"/>
        <w:rPr>
          <w:rFonts w:ascii="Arial" w:eastAsia="Arial" w:hAnsi="Arial" w:cs="Arial"/>
          <w:caps/>
          <w:color w:val="A33333"/>
          <w:kern w:val="24"/>
          <w:sz w:val="24"/>
          <w:szCs w:val="24"/>
          <w:lang w:val="en-US" w:eastAsia="en-US"/>
        </w:rPr>
      </w:pPr>
      <w:bookmarkStart w:id="0" w:name="_Hlk175220183"/>
      <w:r w:rsidRPr="00DB5129">
        <w:rPr>
          <w:rFonts w:ascii="Arial" w:eastAsia="Arial" w:hAnsi="Arial" w:cs="Arial"/>
          <w:b/>
          <w:bCs/>
          <w:color w:val="A33333"/>
          <w:kern w:val="24"/>
          <w:sz w:val="24"/>
          <w:szCs w:val="24"/>
          <w:lang w:val="en-US" w:eastAsia="en-US"/>
        </w:rPr>
        <w:t>The timeline</w:t>
      </w:r>
    </w:p>
    <w:p w14:paraId="6188E1DF"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 xml:space="preserve">The hearing where the High Court will decide whether to approve the transfer is expected to take place on 14 May 2025 in </w:t>
      </w:r>
      <w:r w:rsidRPr="00DB5129">
        <w:rPr>
          <w:rFonts w:ascii="Arial" w:eastAsia="Arial" w:hAnsi="Arial" w:cs="ArialMT"/>
          <w:b/>
          <w:bCs/>
          <w:color w:val="231F20"/>
          <w:sz w:val="20"/>
          <w:lang w:val="en-US" w:eastAsia="en-US"/>
        </w:rPr>
        <w:t>The</w:t>
      </w:r>
      <w:r w:rsidRPr="00DB5129">
        <w:rPr>
          <w:rFonts w:ascii="Arial" w:eastAsia="Arial" w:hAnsi="Arial" w:cs="ArialMT"/>
          <w:color w:val="231F20"/>
          <w:sz w:val="20"/>
          <w:lang w:val="en-US" w:eastAsia="en-US"/>
        </w:rPr>
        <w:t xml:space="preserve"> </w:t>
      </w:r>
      <w:r w:rsidRPr="00DB5129">
        <w:rPr>
          <w:rFonts w:ascii="Arial" w:eastAsia="Arial" w:hAnsi="Arial" w:cs="ArialMT"/>
          <w:b/>
          <w:bCs/>
          <w:color w:val="231F20"/>
          <w:sz w:val="20"/>
          <w:lang w:val="en-US" w:eastAsia="en-US"/>
        </w:rPr>
        <w:t>Rolls Building, Fetter Lane, London EC4A 1NL</w:t>
      </w:r>
      <w:r w:rsidRPr="00DB5129">
        <w:rPr>
          <w:rFonts w:ascii="Arial" w:eastAsia="Arial" w:hAnsi="Arial" w:cs="ArialMT"/>
          <w:color w:val="231F20"/>
          <w:sz w:val="20"/>
          <w:lang w:val="en-US" w:eastAsia="en-US"/>
        </w:rPr>
        <w:t xml:space="preserve">. If the High Court approves the transfer, it is expected that the transfer of our Buy-In policy to Rothesay will take place on 11 June 2025. </w:t>
      </w:r>
    </w:p>
    <w:p w14:paraId="5B4E0BF5"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Scottish Widows will place a notice on its website at www.scottishwidows.co.uk/bulk-annuities to confirm whether the High Court has approved the transfer shortly after the hearing.</w:t>
      </w:r>
    </w:p>
    <w:bookmarkEnd w:id="0"/>
    <w:p w14:paraId="5C2D8C65"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sz w:val="20"/>
          <w:lang w:val="en-US" w:eastAsia="en-US"/>
        </w:rPr>
      </w:pPr>
    </w:p>
    <w:p w14:paraId="5A6FE917" w14:textId="77777777" w:rsidR="00DB5129" w:rsidRPr="00DB5129" w:rsidRDefault="00DB5129" w:rsidP="00DB5129">
      <w:pPr>
        <w:widowControl w:val="0"/>
        <w:autoSpaceDE w:val="0"/>
        <w:autoSpaceDN w:val="0"/>
        <w:spacing w:after="120" w:line="260" w:lineRule="atLeast"/>
        <w:outlineLvl w:val="3"/>
        <w:rPr>
          <w:rFonts w:ascii="Arial" w:eastAsia="Arial" w:hAnsi="Arial" w:cs="Arial"/>
          <w:caps/>
          <w:color w:val="A33333"/>
          <w:kern w:val="24"/>
          <w:sz w:val="24"/>
          <w:szCs w:val="24"/>
          <w:lang w:val="en-US" w:eastAsia="en-US"/>
        </w:rPr>
      </w:pPr>
      <w:bookmarkStart w:id="1" w:name="_Hlk175065392"/>
      <w:r w:rsidRPr="00DB5129">
        <w:rPr>
          <w:rFonts w:ascii="Arial" w:eastAsia="Arial" w:hAnsi="Arial" w:cs="Arial"/>
          <w:b/>
          <w:bCs/>
          <w:color w:val="A33333"/>
          <w:kern w:val="24"/>
          <w:sz w:val="24"/>
          <w:szCs w:val="24"/>
          <w:lang w:val="en-US" w:eastAsia="en-US"/>
        </w:rPr>
        <w:t>For further queries</w:t>
      </w:r>
    </w:p>
    <w:bookmarkEnd w:id="1"/>
    <w:p w14:paraId="124DEE80"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sz w:val="20"/>
          <w:lang w:val="en-US" w:eastAsia="en-US"/>
        </w:rPr>
      </w:pPr>
      <w:r w:rsidRPr="00DB5129">
        <w:rPr>
          <w:rFonts w:ascii="Arial" w:eastAsia="Arial" w:hAnsi="Arial" w:cs="ArialMT"/>
          <w:color w:val="231F20"/>
          <w:sz w:val="20"/>
          <w:lang w:val="en-US" w:eastAsia="en-US"/>
        </w:rPr>
        <w:t xml:space="preserve">If you want to find out more about the transfer, you can explore the dedicated area of Scottish Widows’ website at </w:t>
      </w:r>
      <w:hyperlink r:id="rId8" w:history="1">
        <w:r w:rsidRPr="00DB5129">
          <w:rPr>
            <w:rFonts w:ascii="Arial" w:eastAsia="Arial" w:hAnsi="Arial" w:cs="ArialMT"/>
            <w:sz w:val="20"/>
            <w:lang w:val="en-US" w:eastAsia="en-US"/>
          </w:rPr>
          <w:t>www.scottishwidows.co.uk/bulk-annuities</w:t>
        </w:r>
      </w:hyperlink>
      <w:r w:rsidRPr="00DB5129">
        <w:rPr>
          <w:rFonts w:ascii="Arial" w:eastAsia="Arial" w:hAnsi="Arial" w:cs="ArialMT"/>
          <w:sz w:val="20"/>
          <w:lang w:val="en-US" w:eastAsia="en-US"/>
        </w:rPr>
        <w:t xml:space="preserve"> which contains more information about the transfer and links to the documents relating to the transfer. Scottish Widows will also provide hard copies of the documents relating to the transfer free of charge to anyone who requests them</w:t>
      </w:r>
      <w:r w:rsidRPr="00DB5129">
        <w:rPr>
          <w:rFonts w:ascii="Arial" w:eastAsia="Arial" w:hAnsi="Arial" w:cs="ArialMT"/>
          <w:b/>
          <w:bCs/>
          <w:sz w:val="20"/>
          <w:lang w:val="en-US" w:eastAsia="en-US"/>
        </w:rPr>
        <w:t xml:space="preserve"> </w:t>
      </w:r>
      <w:r w:rsidRPr="00DB5129">
        <w:rPr>
          <w:rFonts w:ascii="Arial" w:eastAsia="Arial" w:hAnsi="Arial" w:cs="ArialMT"/>
          <w:sz w:val="20"/>
          <w:lang w:val="en-US" w:eastAsia="en-US"/>
        </w:rPr>
        <w:t>from Scottish Widows using the contact detail below.</w:t>
      </w:r>
    </w:p>
    <w:p w14:paraId="52C3617E"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color w:val="231F20"/>
          <w:sz w:val="20"/>
          <w:lang w:val="en-US" w:eastAsia="en-US"/>
        </w:rPr>
        <w:t>If you do have any questions, or want to raise a concern or make an objection, you can contact us (and we will pass your query or objection on to Scottish Widows</w:t>
      </w:r>
      <w:proofErr w:type="gramStart"/>
      <w:r w:rsidRPr="00DB5129">
        <w:rPr>
          <w:rFonts w:ascii="Arial" w:eastAsia="Arial" w:hAnsi="Arial" w:cs="ArialMT"/>
          <w:color w:val="231F20"/>
          <w:sz w:val="20"/>
          <w:lang w:val="en-US" w:eastAsia="en-US"/>
        </w:rPr>
        <w:t>)</w:t>
      </w:r>
      <w:proofErr w:type="gramEnd"/>
      <w:r w:rsidRPr="00DB5129">
        <w:rPr>
          <w:rFonts w:ascii="Arial" w:eastAsia="Arial" w:hAnsi="Arial" w:cs="ArialMT"/>
          <w:color w:val="231F20"/>
          <w:sz w:val="20"/>
          <w:lang w:val="en-US" w:eastAsia="en-US"/>
        </w:rPr>
        <w:t xml:space="preserve"> or you can directly contact Scottish Widows:</w:t>
      </w:r>
    </w:p>
    <w:p w14:paraId="2C7FF312" w14:textId="77777777" w:rsidR="00DB5129" w:rsidRPr="00DB5129" w:rsidRDefault="00DB5129" w:rsidP="00DB5129">
      <w:pPr>
        <w:widowControl w:val="0"/>
        <w:numPr>
          <w:ilvl w:val="0"/>
          <w:numId w:val="23"/>
        </w:numPr>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b/>
          <w:bCs/>
          <w:color w:val="231F20"/>
          <w:sz w:val="20"/>
          <w:lang w:val="en-US" w:eastAsia="en-US"/>
        </w:rPr>
        <w:t>By phone</w:t>
      </w:r>
      <w:r w:rsidRPr="00DB5129">
        <w:rPr>
          <w:rFonts w:ascii="Arial" w:eastAsia="Arial" w:hAnsi="Arial" w:cs="ArialMT"/>
          <w:color w:val="231F20"/>
          <w:sz w:val="20"/>
          <w:lang w:val="en-US" w:eastAsia="en-US"/>
        </w:rPr>
        <w:t xml:space="preserve">: </w:t>
      </w:r>
      <w:bookmarkStart w:id="2" w:name="_Hlk176350188"/>
      <w:r w:rsidRPr="00DB5129">
        <w:rPr>
          <w:rFonts w:ascii="Arial" w:eastAsia="Arial" w:hAnsi="Arial" w:cs="ArialMT"/>
          <w:color w:val="231F20"/>
          <w:sz w:val="20"/>
          <w:lang w:val="en-US" w:eastAsia="en-US"/>
        </w:rPr>
        <w:t>0345 0712 713 (or +44 1243 522 290 if calling from outside the UK).</w:t>
      </w:r>
      <w:bookmarkEnd w:id="2"/>
    </w:p>
    <w:p w14:paraId="439CBA47" w14:textId="77777777" w:rsidR="00DB5129" w:rsidRPr="00DB5129" w:rsidRDefault="00DB5129" w:rsidP="00DB5129">
      <w:pPr>
        <w:widowControl w:val="0"/>
        <w:numPr>
          <w:ilvl w:val="0"/>
          <w:numId w:val="23"/>
        </w:numPr>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b/>
          <w:bCs/>
          <w:sz w:val="20"/>
          <w:lang w:val="en-US" w:eastAsia="en-US"/>
        </w:rPr>
        <w:t>By email</w:t>
      </w:r>
      <w:r w:rsidRPr="00DB5129">
        <w:rPr>
          <w:rFonts w:ascii="Arial" w:eastAsia="Arial" w:hAnsi="Arial" w:cs="ArialMT"/>
          <w:color w:val="231F20"/>
          <w:sz w:val="20"/>
          <w:lang w:val="en-US" w:eastAsia="en-US"/>
        </w:rPr>
        <w:t>: SWpolicytransfer@aptia-uk.com</w:t>
      </w:r>
    </w:p>
    <w:p w14:paraId="6EA30D3B" w14:textId="77777777" w:rsidR="00DB5129" w:rsidRPr="00DB5129" w:rsidRDefault="00DB5129" w:rsidP="00DB5129">
      <w:pPr>
        <w:widowControl w:val="0"/>
        <w:numPr>
          <w:ilvl w:val="0"/>
          <w:numId w:val="23"/>
        </w:numPr>
        <w:suppressAutoHyphens/>
        <w:autoSpaceDE w:val="0"/>
        <w:autoSpaceDN w:val="0"/>
        <w:adjustRightInd w:val="0"/>
        <w:spacing w:after="160" w:line="260" w:lineRule="atLeast"/>
        <w:textAlignment w:val="center"/>
        <w:rPr>
          <w:rFonts w:ascii="Arial" w:eastAsia="Arial" w:hAnsi="Arial" w:cs="ArialMT"/>
          <w:color w:val="231F20"/>
          <w:szCs w:val="22"/>
          <w:lang w:val="en-US" w:eastAsia="en-US"/>
        </w:rPr>
      </w:pPr>
      <w:r w:rsidRPr="00DB5129">
        <w:rPr>
          <w:rFonts w:ascii="Arial" w:eastAsia="Arial" w:hAnsi="Arial" w:cs="ArialMT"/>
          <w:b/>
          <w:bCs/>
          <w:sz w:val="20"/>
          <w:lang w:val="en-US" w:eastAsia="en-US"/>
        </w:rPr>
        <w:t>By letter:</w:t>
      </w:r>
      <w:r w:rsidRPr="00DB5129">
        <w:rPr>
          <w:rFonts w:ascii="Arial" w:eastAsia="Arial" w:hAnsi="Arial" w:cs="ArialMT"/>
          <w:color w:val="231F20"/>
          <w:szCs w:val="22"/>
          <w:lang w:val="en-US" w:eastAsia="en-US"/>
        </w:rPr>
        <w:t xml:space="preserve"> </w:t>
      </w:r>
      <w:r w:rsidRPr="00DB5129">
        <w:rPr>
          <w:rFonts w:ascii="Arial" w:eastAsia="Arial" w:hAnsi="Arial" w:cs="ArialMT"/>
          <w:color w:val="231F20"/>
          <w:sz w:val="20"/>
          <w:lang w:val="en-US" w:eastAsia="en-US"/>
        </w:rPr>
        <w:t>Scottish Widows Bulk Annuity Administration Team, Ground Floor, Maclaren House, Talbot Road, Stretford, Manchester, M32 0FP</w:t>
      </w:r>
    </w:p>
    <w:p w14:paraId="003F8FAB"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sz w:val="20"/>
          <w:lang w:val="en-US" w:eastAsia="en-US"/>
        </w:rPr>
      </w:pPr>
      <w:r w:rsidRPr="00DB5129">
        <w:rPr>
          <w:rFonts w:ascii="Arial" w:eastAsia="Arial" w:hAnsi="Arial" w:cs="ArialMT"/>
          <w:sz w:val="20"/>
          <w:lang w:val="en-US" w:eastAsia="en-US"/>
        </w:rPr>
        <w:t xml:space="preserve">Yours </w:t>
      </w:r>
      <w:r w:rsidRPr="00DB5129">
        <w:rPr>
          <w:rFonts w:ascii="Arial" w:eastAsia="Arial" w:hAnsi="Arial" w:cs="ArialMT"/>
          <w:sz w:val="20"/>
          <w:lang w:val="en-US" w:eastAsia="en-US"/>
          <w14:cntxtAlts/>
        </w:rPr>
        <w:t>sincerely</w:t>
      </w:r>
    </w:p>
    <w:p w14:paraId="217730B8"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sz w:val="20"/>
          <w:lang w:val="en-US" w:eastAsia="en-US"/>
        </w:rPr>
      </w:pPr>
      <w:r w:rsidRPr="00DB5129">
        <w:rPr>
          <w:rFonts w:ascii="Arial" w:eastAsia="Arial" w:hAnsi="Arial" w:cs="ArialMT"/>
          <w:sz w:val="20"/>
          <w:lang w:val="en-US" w:eastAsia="en-US"/>
        </w:rPr>
        <w:t>Katherine Ball</w:t>
      </w:r>
    </w:p>
    <w:p w14:paraId="7494D304"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r w:rsidRPr="00DB5129">
        <w:rPr>
          <w:rFonts w:ascii="Arial" w:eastAsia="Arial" w:hAnsi="Arial" w:cs="ArialMT"/>
          <w:sz w:val="20"/>
          <w:lang w:val="en-US" w:eastAsia="en-US"/>
        </w:rPr>
        <w:t>Trustee Director and Independent Trustee of the Renishaw Pension Fund</w:t>
      </w:r>
    </w:p>
    <w:p w14:paraId="0C703652"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47E090A0" w14:textId="77777777"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0D1923BE" w14:textId="172E454C" w:rsidR="00DB5129" w:rsidRPr="00DB5129" w:rsidRDefault="00DB5129" w:rsidP="00DB5129">
      <w:pPr>
        <w:widowControl w:val="0"/>
        <w:suppressAutoHyphens/>
        <w:autoSpaceDE w:val="0"/>
        <w:autoSpaceDN w:val="0"/>
        <w:adjustRightInd w:val="0"/>
        <w:spacing w:after="120" w:line="260" w:lineRule="atLeast"/>
        <w:textAlignment w:val="center"/>
        <w:rPr>
          <w:rFonts w:ascii="Arial" w:eastAsia="Arial" w:hAnsi="Arial" w:cs="ArialMT"/>
          <w:color w:val="231F20"/>
          <w:sz w:val="20"/>
          <w:lang w:val="en-US" w:eastAsia="en-US"/>
        </w:rPr>
      </w:pPr>
    </w:p>
    <w:p w14:paraId="3E87B48A" w14:textId="118E2E60" w:rsidR="00DB5129" w:rsidRDefault="00DB5129" w:rsidP="005568E2"/>
    <w:sectPr w:rsidR="00DB5129" w:rsidSect="0073445B">
      <w:headerReference w:type="default" r:id="rId9"/>
      <w:footerReference w:type="default" r:id="rId10"/>
      <w:headerReference w:type="first" r:id="rId11"/>
      <w:footerReference w:type="first" r:id="rId12"/>
      <w:endnotePr>
        <w:numFmt w:val="decimal"/>
      </w:endnotePr>
      <w:pgSz w:w="11907" w:h="16840" w:code="9"/>
      <w:pgMar w:top="2268" w:right="567" w:bottom="851" w:left="1134" w:header="992" w:footer="102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5EBC" w14:textId="77777777" w:rsidR="00512027" w:rsidRDefault="00512027">
      <w:pPr>
        <w:spacing w:line="20" w:lineRule="exact"/>
        <w:rPr>
          <w:sz w:val="24"/>
        </w:rPr>
      </w:pPr>
    </w:p>
  </w:endnote>
  <w:endnote w:type="continuationSeparator" w:id="0">
    <w:p w14:paraId="32604C97" w14:textId="77777777" w:rsidR="00512027" w:rsidRDefault="00512027">
      <w:r>
        <w:rPr>
          <w:sz w:val="24"/>
        </w:rPr>
        <w:t xml:space="preserve"> </w:t>
      </w:r>
    </w:p>
  </w:endnote>
  <w:endnote w:type="continuationNotice" w:id="1">
    <w:p w14:paraId="135A6DCC" w14:textId="77777777" w:rsidR="00512027" w:rsidRDefault="005120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variable"/>
    <w:sig w:usb0="E0002AFF" w:usb1="C0007843" w:usb2="00000009" w:usb3="00000000" w:csb0="000001FF" w:csb1="00000000"/>
  </w:font>
  <w:font w:name="ArialMT">
    <w:altName w:val="Arial"/>
    <w:charset w:val="00"/>
    <w:family w:val="swiss"/>
    <w:pitch w:val="variable"/>
    <w:sig w:usb0="00000000" w:usb1="C0007843" w:usb2="00000009" w:usb3="00000000" w:csb0="000001FF" w:csb1="00000000"/>
  </w:font>
  <w:font w:name="Renishaw Logo">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959D" w14:textId="22C64290" w:rsidR="00AE03EB" w:rsidRPr="003A452B" w:rsidRDefault="003A452B" w:rsidP="003A452B">
    <w:pPr>
      <w:pStyle w:val="Footer"/>
    </w:pPr>
    <w:r>
      <w:tab/>
    </w:r>
    <w:r>
      <w:tab/>
    </w:r>
    <w:r>
      <w:tab/>
    </w:r>
    <w:r w:rsidRPr="00DB5129">
      <w:rPr>
        <w:rFonts w:ascii="Arial" w:eastAsia="Arial" w:hAnsi="Arial" w:cs="Arial"/>
        <w:szCs w:val="22"/>
        <w:lang w:val="en-US" w:eastAsia="en-US"/>
      </w:rPr>
      <w:fldChar w:fldCharType="begin"/>
    </w:r>
    <w:r w:rsidRPr="00DB5129">
      <w:rPr>
        <w:rFonts w:ascii="Arial" w:eastAsia="Arial" w:hAnsi="Arial" w:cs="Arial"/>
        <w:szCs w:val="14"/>
        <w:lang w:val="en-US" w:eastAsia="en-US"/>
      </w:rPr>
      <w:instrText xml:space="preserve"> PAGE \* MERGEFORMAT </w:instrText>
    </w:r>
    <w:r w:rsidRPr="00DB5129">
      <w:rPr>
        <w:rFonts w:ascii="Arial" w:eastAsia="Arial" w:hAnsi="Arial" w:cs="Arial"/>
        <w:szCs w:val="22"/>
        <w:lang w:val="en-US" w:eastAsia="en-US"/>
      </w:rPr>
      <w:fldChar w:fldCharType="separate"/>
    </w:r>
    <w:r>
      <w:rPr>
        <w:rFonts w:ascii="Arial" w:hAnsi="Arial"/>
      </w:rPr>
      <w:t>2</w:t>
    </w:r>
    <w:r w:rsidRPr="00DB5129">
      <w:rPr>
        <w:rFonts w:ascii="Arial" w:eastAsia="Arial" w:hAnsi="Arial" w:cs="Arial"/>
        <w:szCs w:val="22"/>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10CD" w14:textId="70928B39" w:rsidR="00DB5129" w:rsidRPr="00DB5129" w:rsidRDefault="00AE03EB" w:rsidP="00DB5129">
    <w:pPr>
      <w:pStyle w:val="Footer"/>
      <w:tabs>
        <w:tab w:val="clear" w:pos="4513"/>
        <w:tab w:val="clear" w:pos="9026"/>
        <w:tab w:val="right" w:pos="8787"/>
      </w:tabs>
      <w:rPr>
        <w:rFonts w:ascii="Arial" w:eastAsia="Arial" w:hAnsi="Arial" w:cs="Arial"/>
        <w:szCs w:val="22"/>
        <w:lang w:val="en-US" w:eastAsia="en-US"/>
      </w:rPr>
    </w:pPr>
    <w:r w:rsidRPr="00510223">
      <w:rPr>
        <w:rFonts w:ascii="Arial" w:hAnsi="Arial"/>
        <w:snapToGrid w:val="0"/>
        <w:sz w:val="16"/>
        <w:lang w:eastAsia="es-ES"/>
      </w:rPr>
      <w:t xml:space="preserve">Trustees:      </w:t>
    </w:r>
    <w:r w:rsidR="00BA1086">
      <w:rPr>
        <w:rFonts w:ascii="Arial" w:hAnsi="Arial"/>
        <w:snapToGrid w:val="0"/>
        <w:sz w:val="16"/>
        <w:lang w:eastAsia="es-ES"/>
      </w:rPr>
      <w:t>Ross Trustees</w:t>
    </w:r>
    <w:r w:rsidR="001A64BC">
      <w:rPr>
        <w:rFonts w:ascii="Arial" w:hAnsi="Arial"/>
        <w:snapToGrid w:val="0"/>
        <w:sz w:val="16"/>
        <w:lang w:eastAsia="es-ES"/>
      </w:rPr>
      <w:t xml:space="preserve"> Services Limited</w:t>
    </w:r>
    <w:r w:rsidR="00DB5129">
      <w:rPr>
        <w:rFonts w:ascii="Arial" w:hAnsi="Arial"/>
        <w:snapToGrid w:val="0"/>
        <w:sz w:val="16"/>
        <w:lang w:eastAsia="es-ES"/>
      </w:rPr>
      <w:tab/>
    </w:r>
    <w:r w:rsidR="00DB5129">
      <w:rPr>
        <w:rFonts w:ascii="Arial" w:hAnsi="Arial"/>
        <w:snapToGrid w:val="0"/>
        <w:sz w:val="16"/>
        <w:lang w:eastAsia="es-ES"/>
      </w:rPr>
      <w:tab/>
    </w:r>
    <w:r w:rsidR="00DB5129">
      <w:rPr>
        <w:rFonts w:ascii="Arial" w:hAnsi="Arial"/>
        <w:snapToGrid w:val="0"/>
        <w:sz w:val="16"/>
        <w:lang w:eastAsia="es-ES"/>
      </w:rPr>
      <w:tab/>
    </w:r>
    <w:r w:rsidR="00DB5129">
      <w:rPr>
        <w:rFonts w:ascii="Arial" w:hAnsi="Arial"/>
        <w:snapToGrid w:val="0"/>
        <w:sz w:val="16"/>
        <w:lang w:eastAsia="es-ES"/>
      </w:rPr>
      <w:tab/>
    </w:r>
    <w:r w:rsidR="00DB5129">
      <w:rPr>
        <w:rFonts w:ascii="Arial" w:hAnsi="Arial"/>
        <w:snapToGrid w:val="0"/>
        <w:sz w:val="16"/>
        <w:lang w:eastAsia="es-ES"/>
      </w:rPr>
      <w:tab/>
    </w:r>
    <w:r w:rsidR="00DB5129" w:rsidRPr="00DB5129">
      <w:rPr>
        <w:rFonts w:ascii="Arial" w:eastAsia="Arial" w:hAnsi="Arial" w:cs="Arial"/>
        <w:szCs w:val="22"/>
        <w:lang w:val="en-US" w:eastAsia="en-US"/>
      </w:rPr>
      <w:fldChar w:fldCharType="begin"/>
    </w:r>
    <w:r w:rsidR="00DB5129" w:rsidRPr="00DB5129">
      <w:rPr>
        <w:rFonts w:ascii="Arial" w:eastAsia="Arial" w:hAnsi="Arial" w:cs="Arial"/>
        <w:szCs w:val="14"/>
        <w:lang w:val="en-US" w:eastAsia="en-US"/>
      </w:rPr>
      <w:instrText xml:space="preserve"> PAGE \* MERGEFORMAT </w:instrText>
    </w:r>
    <w:r w:rsidR="00DB5129" w:rsidRPr="00DB5129">
      <w:rPr>
        <w:rFonts w:ascii="Arial" w:eastAsia="Arial" w:hAnsi="Arial" w:cs="Arial"/>
        <w:szCs w:val="22"/>
        <w:lang w:val="en-US" w:eastAsia="en-US"/>
      </w:rPr>
      <w:fldChar w:fldCharType="separate"/>
    </w:r>
    <w:r w:rsidR="00DB5129" w:rsidRPr="00DB5129">
      <w:rPr>
        <w:rFonts w:ascii="Arial" w:eastAsia="Arial" w:hAnsi="Arial" w:cs="Arial"/>
        <w:szCs w:val="22"/>
        <w:lang w:val="en-US" w:eastAsia="en-US"/>
      </w:rPr>
      <w:t>1</w:t>
    </w:r>
    <w:r w:rsidR="00DB5129" w:rsidRPr="00DB5129">
      <w:rPr>
        <w:rFonts w:ascii="Arial" w:eastAsia="Arial" w:hAnsi="Arial" w:cs="Arial"/>
        <w:szCs w:val="22"/>
        <w:lang w:val="en-US" w:eastAsia="en-US"/>
      </w:rPr>
      <w:fldChar w:fldCharType="end"/>
    </w:r>
  </w:p>
  <w:p w14:paraId="6699A68C" w14:textId="320D3F65" w:rsidR="00AE03EB" w:rsidRPr="00510223" w:rsidRDefault="00AE03EB">
    <w:pPr>
      <w:tabs>
        <w:tab w:val="left" w:pos="3402"/>
      </w:tabs>
      <w:rPr>
        <w:rFonts w:ascii="Arial" w:hAnsi="Arial"/>
        <w:b/>
        <w:snapToGrid w:val="0"/>
        <w:sz w:val="16"/>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972B" w14:textId="77777777" w:rsidR="00512027" w:rsidRDefault="00512027">
      <w:r>
        <w:rPr>
          <w:sz w:val="24"/>
        </w:rPr>
        <w:separator/>
      </w:r>
    </w:p>
  </w:footnote>
  <w:footnote w:type="continuationSeparator" w:id="0">
    <w:p w14:paraId="4E660F91" w14:textId="77777777" w:rsidR="00512027" w:rsidRDefault="0051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A743" w14:textId="32B44A30" w:rsidR="00AE03EB" w:rsidRDefault="00DB4E2E">
    <w:pPr>
      <w:pBdr>
        <w:bottom w:val="single" w:sz="6" w:space="4" w:color="auto"/>
      </w:pBdr>
    </w:pPr>
    <w:r>
      <w:rPr>
        <w:rFonts w:ascii="Renishaw Logo" w:hAnsi="Renishaw Logo"/>
        <w:noProof/>
        <w:sz w:val="40"/>
      </w:rPr>
      <w:drawing>
        <wp:anchor distT="0" distB="0" distL="114300" distR="114300" simplePos="0" relativeHeight="251657216" behindDoc="0" locked="0" layoutInCell="0" allowOverlap="1" wp14:anchorId="1873E7E2" wp14:editId="31938605">
          <wp:simplePos x="0" y="0"/>
          <wp:positionH relativeFrom="column">
            <wp:posOffset>4125595</wp:posOffset>
          </wp:positionH>
          <wp:positionV relativeFrom="paragraph">
            <wp:posOffset>-265430</wp:posOffset>
          </wp:positionV>
          <wp:extent cx="2538095" cy="951865"/>
          <wp:effectExtent l="19050" t="0" r="0" b="0"/>
          <wp:wrapTopAndBottom/>
          <wp:docPr id="629033503" name="Picture 62903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38095" cy="9518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D228" w14:textId="7EAC4654" w:rsidR="00AE03EB" w:rsidRPr="00F23428" w:rsidRDefault="003A452B">
    <w:pPr>
      <w:tabs>
        <w:tab w:val="left" w:pos="3402"/>
        <w:tab w:val="left" w:pos="4111"/>
      </w:tabs>
      <w:rPr>
        <w:rFonts w:ascii="Arial" w:hAnsi="Arial"/>
        <w:snapToGrid w:val="0"/>
        <w:sz w:val="16"/>
        <w:lang w:eastAsia="es-ES"/>
      </w:rPr>
    </w:pPr>
    <w:r>
      <w:rPr>
        <w:rFonts w:ascii="Univers" w:hAnsi="Univers"/>
        <w:sz w:val="20"/>
      </w:rPr>
      <w:object w:dxaOrig="1440" w:dyaOrig="1440" w14:anchorId="03893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24.85pt;margin-top:-20.9pt;width:199.85pt;height:74.95pt;z-index:251658240;visibility:visible;mso-wrap-edited:f" o:allowincell="f">
          <v:imagedata r:id="rId1" o:title=""/>
        </v:shape>
        <o:OLEObject Type="Embed" ProgID="Word.Picture.8" ShapeID="_x0000_s2050" DrawAspect="Content" ObjectID="_1799579871" r:id="rId2"/>
      </w:object>
    </w:r>
    <w:r w:rsidR="00AE03EB" w:rsidRPr="00F23428">
      <w:rPr>
        <w:rFonts w:ascii="Arial" w:hAnsi="Arial"/>
        <w:b/>
        <w:snapToGrid w:val="0"/>
        <w:lang w:eastAsia="es-ES"/>
      </w:rPr>
      <w:t>Renishaw Pension Fund</w:t>
    </w:r>
    <w:r w:rsidR="00AE03EB" w:rsidRPr="00F23428">
      <w:rPr>
        <w:rFonts w:ascii="Arial" w:hAnsi="Arial"/>
        <w:sz w:val="16"/>
      </w:rPr>
      <w:tab/>
    </w:r>
    <w:r w:rsidR="00AE03EB" w:rsidRPr="00F23428">
      <w:rPr>
        <w:rFonts w:ascii="Arial" w:hAnsi="Arial"/>
        <w:b/>
        <w:snapToGrid w:val="0"/>
        <w:color w:val="000000"/>
        <w:sz w:val="16"/>
        <w:lang w:eastAsia="es-ES"/>
      </w:rPr>
      <w:t>Tel</w:t>
    </w:r>
    <w:r w:rsidR="00AE03EB" w:rsidRPr="00F23428">
      <w:rPr>
        <w:rFonts w:ascii="Arial" w:hAnsi="Arial"/>
        <w:b/>
        <w:snapToGrid w:val="0"/>
        <w:sz w:val="16"/>
        <w:lang w:eastAsia="es-ES"/>
      </w:rPr>
      <w:t xml:space="preserve"> </w:t>
    </w:r>
    <w:r w:rsidR="00AE03EB" w:rsidRPr="00F23428">
      <w:rPr>
        <w:rFonts w:ascii="Arial" w:hAnsi="Arial"/>
        <w:b/>
        <w:snapToGrid w:val="0"/>
        <w:sz w:val="16"/>
        <w:lang w:eastAsia="es-ES"/>
      </w:rPr>
      <w:tab/>
    </w:r>
    <w:r w:rsidR="00AE03EB" w:rsidRPr="00F23428">
      <w:rPr>
        <w:rFonts w:ascii="Arial" w:hAnsi="Arial"/>
        <w:snapToGrid w:val="0"/>
        <w:sz w:val="16"/>
        <w:lang w:eastAsia="es-ES"/>
      </w:rPr>
      <w:t xml:space="preserve">+44 (0) </w:t>
    </w:r>
    <w:r w:rsidR="0065668B">
      <w:rPr>
        <w:rFonts w:ascii="Arial" w:hAnsi="Arial"/>
        <w:snapToGrid w:val="0"/>
        <w:sz w:val="16"/>
        <w:lang w:eastAsia="es-ES"/>
      </w:rPr>
      <w:t>7585 126995</w:t>
    </w:r>
  </w:p>
  <w:p w14:paraId="2F45FD0F" w14:textId="77777777" w:rsidR="00AE03EB" w:rsidRPr="00F23428" w:rsidRDefault="00AE03EB">
    <w:pPr>
      <w:tabs>
        <w:tab w:val="left" w:pos="-1701"/>
        <w:tab w:val="left" w:pos="-1560"/>
        <w:tab w:val="left" w:pos="-1418"/>
        <w:tab w:val="left" w:pos="3402"/>
        <w:tab w:val="left" w:pos="4111"/>
      </w:tabs>
      <w:rPr>
        <w:rFonts w:ascii="Arial" w:hAnsi="Arial"/>
        <w:sz w:val="16"/>
      </w:rPr>
    </w:pPr>
    <w:r w:rsidRPr="00F23428">
      <w:rPr>
        <w:rFonts w:ascii="Arial" w:hAnsi="Arial"/>
        <w:snapToGrid w:val="0"/>
        <w:sz w:val="16"/>
        <w:lang w:eastAsia="es-ES"/>
      </w:rPr>
      <w:t>New Mills, Wotton-under-Edge,</w:t>
    </w:r>
    <w:r w:rsidRPr="00F23428">
      <w:rPr>
        <w:rFonts w:ascii="Arial" w:hAnsi="Arial"/>
        <w:sz w:val="16"/>
      </w:rPr>
      <w:tab/>
    </w:r>
    <w:r w:rsidRPr="00F23428">
      <w:rPr>
        <w:rFonts w:ascii="Arial" w:hAnsi="Arial"/>
        <w:b/>
        <w:snapToGrid w:val="0"/>
        <w:sz w:val="16"/>
        <w:lang w:eastAsia="es-ES"/>
      </w:rPr>
      <w:t xml:space="preserve">Fax </w:t>
    </w:r>
    <w:r w:rsidRPr="00F23428">
      <w:rPr>
        <w:rFonts w:ascii="Arial" w:hAnsi="Arial"/>
        <w:b/>
        <w:snapToGrid w:val="0"/>
        <w:sz w:val="16"/>
        <w:lang w:eastAsia="es-ES"/>
      </w:rPr>
      <w:tab/>
    </w:r>
    <w:r w:rsidRPr="00F23428">
      <w:rPr>
        <w:rFonts w:ascii="Arial" w:hAnsi="Arial"/>
        <w:snapToGrid w:val="0"/>
        <w:sz w:val="16"/>
        <w:lang w:eastAsia="es-ES"/>
      </w:rPr>
      <w:t>+44 (0) 1453 524404</w:t>
    </w:r>
  </w:p>
  <w:p w14:paraId="2B09E897" w14:textId="77777777" w:rsidR="00AE03EB" w:rsidRPr="00FF286A" w:rsidRDefault="00AE03EB">
    <w:pPr>
      <w:tabs>
        <w:tab w:val="left" w:pos="-1560"/>
        <w:tab w:val="left" w:pos="3402"/>
        <w:tab w:val="left" w:pos="4111"/>
      </w:tabs>
      <w:rPr>
        <w:rFonts w:ascii="Arial" w:hAnsi="Arial"/>
        <w:sz w:val="16"/>
      </w:rPr>
    </w:pPr>
    <w:r w:rsidRPr="00F23428">
      <w:rPr>
        <w:rFonts w:ascii="Arial" w:hAnsi="Arial"/>
        <w:snapToGrid w:val="0"/>
        <w:sz w:val="16"/>
        <w:lang w:eastAsia="es-ES"/>
      </w:rPr>
      <w:t>Gloucestershire GL12 8JR</w:t>
    </w:r>
    <w:r w:rsidRPr="00F23428">
      <w:rPr>
        <w:rFonts w:ascii="Arial" w:hAnsi="Arial"/>
        <w:snapToGrid w:val="0"/>
        <w:sz w:val="16"/>
        <w:lang w:eastAsia="es-ES"/>
      </w:rPr>
      <w:tab/>
    </w:r>
    <w:r w:rsidRPr="00F23428">
      <w:rPr>
        <w:rFonts w:ascii="Arial" w:hAnsi="Arial"/>
        <w:b/>
        <w:sz w:val="16"/>
      </w:rPr>
      <w:t>Email:</w:t>
    </w:r>
    <w:r w:rsidRPr="00F23428">
      <w:rPr>
        <w:rFonts w:ascii="Arial" w:hAnsi="Arial"/>
        <w:b/>
        <w:sz w:val="16"/>
      </w:rPr>
      <w:tab/>
    </w:r>
    <w:r w:rsidR="00296017" w:rsidRPr="00296017">
      <w:rPr>
        <w:rFonts w:ascii="Arial" w:hAnsi="Arial"/>
        <w:sz w:val="16"/>
      </w:rPr>
      <w:t>ian.wallace@renishaw.com</w:t>
    </w:r>
  </w:p>
  <w:p w14:paraId="362CAEEA" w14:textId="77777777" w:rsidR="00AE03EB" w:rsidRPr="00F23428" w:rsidRDefault="00AE03EB">
    <w:pPr>
      <w:tabs>
        <w:tab w:val="left" w:pos="-1560"/>
        <w:tab w:val="left" w:pos="3402"/>
        <w:tab w:val="left" w:pos="4111"/>
      </w:tabs>
      <w:rPr>
        <w:rFonts w:ascii="Arial" w:hAnsi="Arial"/>
        <w:sz w:val="16"/>
      </w:rPr>
    </w:pPr>
    <w:r w:rsidRPr="00F23428">
      <w:rPr>
        <w:rFonts w:ascii="Arial" w:hAnsi="Arial"/>
        <w:snapToGrid w:val="0"/>
        <w:sz w:val="16"/>
        <w:lang w:eastAsia="es-ES"/>
      </w:rPr>
      <w:t>United Kingdom</w:t>
    </w:r>
    <w:r w:rsidRPr="00F23428">
      <w:rPr>
        <w:rFonts w:ascii="Arial" w:hAnsi="Arial"/>
        <w:sz w:val="16"/>
      </w:rPr>
      <w:tab/>
    </w:r>
    <w:r w:rsidRPr="00F23428">
      <w:rPr>
        <w:rFonts w:ascii="Arial" w:hAnsi="Arial"/>
        <w:b/>
        <w:sz w:val="16"/>
      </w:rPr>
      <w:t>www.renishaw.com</w:t>
    </w:r>
  </w:p>
  <w:p w14:paraId="6B3F1A7A" w14:textId="77777777" w:rsidR="00AE03EB" w:rsidRPr="00F23428" w:rsidRDefault="00AE03EB">
    <w:pPr>
      <w:rPr>
        <w:rFonts w:ascii="Arial" w:hAnsi="Arial"/>
        <w:snapToGrid w:val="0"/>
        <w:sz w:val="16"/>
        <w:lang w:eastAsia="es-ES"/>
      </w:rPr>
    </w:pPr>
  </w:p>
  <w:p w14:paraId="6EE7A17E" w14:textId="77777777" w:rsidR="00AE03EB" w:rsidRPr="00F23428" w:rsidRDefault="00AE03EB">
    <w:pPr>
      <w:pBdr>
        <w:bottom w:val="single" w:sz="4" w:space="1" w:color="auto"/>
      </w:pBdr>
      <w:rPr>
        <w:rFonts w:ascii="Arial" w:hAnsi="Arial"/>
        <w:snapToGrid w:val="0"/>
        <w:sz w:val="16"/>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4206D4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7446A2"/>
    <w:multiLevelType w:val="singleLevel"/>
    <w:tmpl w:val="FE127AC8"/>
    <w:lvl w:ilvl="0">
      <w:start w:val="1"/>
      <w:numFmt w:val="decimal"/>
      <w:lvlText w:val="%1"/>
      <w:lvlJc w:val="left"/>
      <w:pPr>
        <w:tabs>
          <w:tab w:val="num" w:pos="720"/>
        </w:tabs>
        <w:ind w:left="720" w:hanging="720"/>
      </w:pPr>
      <w:rPr>
        <w:rFonts w:hint="default"/>
      </w:rPr>
    </w:lvl>
  </w:abstractNum>
  <w:abstractNum w:abstractNumId="3" w15:restartNumberingAfterBreak="0">
    <w:nsid w:val="0D203138"/>
    <w:multiLevelType w:val="singleLevel"/>
    <w:tmpl w:val="F7C282A6"/>
    <w:lvl w:ilvl="0">
      <w:start w:val="3"/>
      <w:numFmt w:val="lowerLetter"/>
      <w:lvlText w:val="(%1)"/>
      <w:lvlJc w:val="left"/>
      <w:pPr>
        <w:tabs>
          <w:tab w:val="num" w:pos="1080"/>
        </w:tabs>
        <w:ind w:left="1080" w:hanging="360"/>
      </w:pPr>
      <w:rPr>
        <w:rFonts w:hint="default"/>
      </w:rPr>
    </w:lvl>
  </w:abstractNum>
  <w:abstractNum w:abstractNumId="4" w15:restartNumberingAfterBreak="0">
    <w:nsid w:val="1B135F61"/>
    <w:multiLevelType w:val="singleLevel"/>
    <w:tmpl w:val="CD2EEFA0"/>
    <w:lvl w:ilvl="0">
      <w:numFmt w:val="bullet"/>
      <w:lvlText w:val=""/>
      <w:lvlJc w:val="left"/>
      <w:pPr>
        <w:tabs>
          <w:tab w:val="num" w:pos="720"/>
        </w:tabs>
        <w:ind w:left="720" w:hanging="720"/>
      </w:pPr>
      <w:rPr>
        <w:rFonts w:ascii="Symbol" w:hAnsi="Symbol" w:hint="default"/>
      </w:rPr>
    </w:lvl>
  </w:abstractNum>
  <w:abstractNum w:abstractNumId="5" w15:restartNumberingAfterBreak="0">
    <w:nsid w:val="235B13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AF31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477B90"/>
    <w:multiLevelType w:val="singleLevel"/>
    <w:tmpl w:val="17C89754"/>
    <w:lvl w:ilvl="0">
      <w:start w:val="1"/>
      <w:numFmt w:val="lowerLetter"/>
      <w:lvlText w:val="(%1)"/>
      <w:lvlJc w:val="left"/>
      <w:pPr>
        <w:tabs>
          <w:tab w:val="num" w:pos="1440"/>
        </w:tabs>
        <w:ind w:left="1440" w:hanging="720"/>
      </w:pPr>
      <w:rPr>
        <w:rFonts w:hint="default"/>
      </w:rPr>
    </w:lvl>
  </w:abstractNum>
  <w:abstractNum w:abstractNumId="8" w15:restartNumberingAfterBreak="0">
    <w:nsid w:val="3E451C9F"/>
    <w:multiLevelType w:val="multilevel"/>
    <w:tmpl w:val="73ECAA44"/>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C84689"/>
    <w:multiLevelType w:val="singleLevel"/>
    <w:tmpl w:val="CD2EEFA0"/>
    <w:lvl w:ilvl="0">
      <w:numFmt w:val="bullet"/>
      <w:lvlText w:val=""/>
      <w:lvlJc w:val="left"/>
      <w:pPr>
        <w:tabs>
          <w:tab w:val="num" w:pos="720"/>
        </w:tabs>
        <w:ind w:left="720" w:hanging="720"/>
      </w:pPr>
      <w:rPr>
        <w:rFonts w:ascii="Symbol" w:hAnsi="Symbol" w:hint="default"/>
      </w:rPr>
    </w:lvl>
  </w:abstractNum>
  <w:abstractNum w:abstractNumId="10" w15:restartNumberingAfterBreak="0">
    <w:nsid w:val="453836EB"/>
    <w:multiLevelType w:val="hybridMultilevel"/>
    <w:tmpl w:val="BECAE29C"/>
    <w:lvl w:ilvl="0" w:tplc="F11E8E12">
      <w:start w:val="1"/>
      <w:numFmt w:val="bullet"/>
      <w:lvlText w:val=""/>
      <w:lvlJc w:val="left"/>
      <w:pPr>
        <w:ind w:left="720" w:hanging="360"/>
      </w:pPr>
      <w:rPr>
        <w:rFonts w:ascii="Symbol" w:hAnsi="Symbol" w:hint="default"/>
        <w:color w:val="D5343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F217F"/>
    <w:multiLevelType w:val="singleLevel"/>
    <w:tmpl w:val="CD2EEFA0"/>
    <w:lvl w:ilvl="0">
      <w:numFmt w:val="bullet"/>
      <w:lvlText w:val=""/>
      <w:lvlJc w:val="left"/>
      <w:pPr>
        <w:tabs>
          <w:tab w:val="num" w:pos="720"/>
        </w:tabs>
        <w:ind w:left="720" w:hanging="720"/>
      </w:pPr>
      <w:rPr>
        <w:rFonts w:ascii="Symbol" w:hAnsi="Symbol" w:hint="default"/>
      </w:rPr>
    </w:lvl>
  </w:abstractNum>
  <w:abstractNum w:abstractNumId="12" w15:restartNumberingAfterBreak="0">
    <w:nsid w:val="4B327159"/>
    <w:multiLevelType w:val="singleLevel"/>
    <w:tmpl w:val="CD2EEFA0"/>
    <w:lvl w:ilvl="0">
      <w:numFmt w:val="bullet"/>
      <w:lvlText w:val=""/>
      <w:lvlJc w:val="left"/>
      <w:pPr>
        <w:tabs>
          <w:tab w:val="num" w:pos="720"/>
        </w:tabs>
        <w:ind w:left="720" w:hanging="720"/>
      </w:pPr>
      <w:rPr>
        <w:rFonts w:ascii="Symbol" w:hAnsi="Symbol" w:hint="default"/>
      </w:rPr>
    </w:lvl>
  </w:abstractNum>
  <w:abstractNum w:abstractNumId="13" w15:restartNumberingAfterBreak="0">
    <w:nsid w:val="4C0B741F"/>
    <w:multiLevelType w:val="singleLevel"/>
    <w:tmpl w:val="CD2EEFA0"/>
    <w:lvl w:ilvl="0">
      <w:numFmt w:val="bullet"/>
      <w:lvlText w:val=""/>
      <w:lvlJc w:val="left"/>
      <w:pPr>
        <w:tabs>
          <w:tab w:val="num" w:pos="720"/>
        </w:tabs>
        <w:ind w:left="720" w:hanging="720"/>
      </w:pPr>
      <w:rPr>
        <w:rFonts w:ascii="Symbol" w:hAnsi="Symbol" w:hint="default"/>
      </w:rPr>
    </w:lvl>
  </w:abstractNum>
  <w:abstractNum w:abstractNumId="14" w15:restartNumberingAfterBreak="0">
    <w:nsid w:val="59A7229C"/>
    <w:multiLevelType w:val="multilevel"/>
    <w:tmpl w:val="DCF432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
      <w:lvlJc w:val="left"/>
      <w:pPr>
        <w:tabs>
          <w:tab w:val="num" w:pos="360"/>
        </w:tabs>
        <w:ind w:left="360" w:hanging="360"/>
      </w:pPr>
      <w:rPr>
        <w:rFonts w:ascii="Wingdings" w:hAnsi="Wingdings" w:cs="Times New Roman" w:hint="default"/>
      </w:rPr>
    </w:lvl>
    <w:lvl w:ilvl="5">
      <w:start w:val="1"/>
      <w:numFmt w:val="lowerRoman"/>
      <w:lvlText w:val="–"/>
      <w:lvlJc w:val="left"/>
      <w:pPr>
        <w:tabs>
          <w:tab w:val="num" w:pos="720"/>
        </w:tabs>
        <w:ind w:left="720" w:hanging="360"/>
      </w:pPr>
      <w:rPr>
        <w:rFonts w:ascii="Times NR" w:hAnsi="Times NR" w:cs="Times New Roman"/>
      </w:rPr>
    </w:lvl>
    <w:lvl w:ilvl="6">
      <w:start w:val="1"/>
      <w:numFmt w:val="decimal"/>
      <w:lvlText w:val=""/>
      <w:lvlJc w:val="left"/>
      <w:pPr>
        <w:tabs>
          <w:tab w:val="num" w:pos="1080"/>
        </w:tabs>
        <w:ind w:left="1080" w:hanging="360"/>
      </w:pPr>
      <w:rPr>
        <w:rFonts w:ascii="Wingdings" w:hAnsi="Wingdings" w:cs="Times New Roman" w:hint="default"/>
      </w:rPr>
    </w:lvl>
    <w:lvl w:ilvl="7">
      <w:start w:val="1"/>
      <w:numFmt w:val="lowerLetter"/>
      <w:lvlText w:val="-"/>
      <w:lvlJc w:val="left"/>
      <w:pPr>
        <w:tabs>
          <w:tab w:val="num" w:pos="1440"/>
        </w:tabs>
        <w:ind w:left="1440" w:hanging="360"/>
      </w:pPr>
      <w:rPr>
        <w:rFonts w:ascii="Times NR" w:hAnsi="Times NR"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BCD7FF8"/>
    <w:multiLevelType w:val="singleLevel"/>
    <w:tmpl w:val="363E6306"/>
    <w:lvl w:ilvl="0">
      <w:start w:val="1"/>
      <w:numFmt w:val="decimal"/>
      <w:lvlText w:val="%1."/>
      <w:lvlJc w:val="left"/>
      <w:pPr>
        <w:tabs>
          <w:tab w:val="num" w:pos="720"/>
        </w:tabs>
        <w:ind w:left="720" w:hanging="720"/>
      </w:pPr>
      <w:rPr>
        <w:rFonts w:hint="default"/>
      </w:rPr>
    </w:lvl>
  </w:abstractNum>
  <w:abstractNum w:abstractNumId="16" w15:restartNumberingAfterBreak="0">
    <w:nsid w:val="5C6304E8"/>
    <w:multiLevelType w:val="multilevel"/>
    <w:tmpl w:val="F022F424"/>
    <w:lvl w:ilvl="0">
      <w:start w:val="1"/>
      <w:numFmt w:val="decimal"/>
      <w:lvlText w:val="%1"/>
      <w:lvlJc w:val="left"/>
      <w:pPr>
        <w:tabs>
          <w:tab w:val="num" w:pos="720"/>
        </w:tabs>
        <w:ind w:left="720" w:hanging="720"/>
      </w:pPr>
      <w:rPr>
        <w:caps w:val="0"/>
        <w:strike w:val="0"/>
        <w:dstrike w:val="0"/>
        <w:vanish w:val="0"/>
        <w:color w:val="auto"/>
        <w:effect w:val="none"/>
        <w:vertAlign w:val="baseline"/>
      </w:rPr>
    </w:lvl>
    <w:lvl w:ilvl="1">
      <w:start w:val="1"/>
      <w:numFmt w:val="decimal"/>
      <w:lvlText w:val="%1.%2"/>
      <w:lvlJc w:val="left"/>
      <w:pPr>
        <w:tabs>
          <w:tab w:val="num" w:pos="720"/>
        </w:tabs>
        <w:ind w:left="720" w:hanging="720"/>
      </w:pPr>
      <w:rPr>
        <w:caps w:val="0"/>
        <w:strike w:val="0"/>
        <w:dstrike w:val="0"/>
        <w:vanish w:val="0"/>
        <w:color w:val="auto"/>
        <w:effect w:val="none"/>
        <w:vertAlign w:val="base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7" w15:restartNumberingAfterBreak="0">
    <w:nsid w:val="62505F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4A1C2A"/>
    <w:multiLevelType w:val="singleLevel"/>
    <w:tmpl w:val="775C85AA"/>
    <w:lvl w:ilvl="0">
      <w:start w:val="3"/>
      <w:numFmt w:val="decimal"/>
      <w:lvlText w:val="%1"/>
      <w:lvlJc w:val="left"/>
      <w:pPr>
        <w:tabs>
          <w:tab w:val="num" w:pos="360"/>
        </w:tabs>
        <w:ind w:left="360" w:hanging="360"/>
      </w:pPr>
      <w:rPr>
        <w:rFonts w:hint="default"/>
      </w:rPr>
    </w:lvl>
  </w:abstractNum>
  <w:abstractNum w:abstractNumId="19" w15:restartNumberingAfterBreak="0">
    <w:nsid w:val="6A9C23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8A2A4F"/>
    <w:multiLevelType w:val="singleLevel"/>
    <w:tmpl w:val="87402656"/>
    <w:lvl w:ilvl="0">
      <w:start w:val="1"/>
      <w:numFmt w:val="lowerLetter"/>
      <w:lvlText w:val="(%1)"/>
      <w:lvlJc w:val="left"/>
      <w:pPr>
        <w:tabs>
          <w:tab w:val="num" w:pos="1440"/>
        </w:tabs>
        <w:ind w:left="1440" w:hanging="720"/>
      </w:pPr>
      <w:rPr>
        <w:rFonts w:hint="default"/>
      </w:rPr>
    </w:lvl>
  </w:abstractNum>
  <w:abstractNum w:abstractNumId="21" w15:restartNumberingAfterBreak="0">
    <w:nsid w:val="7A7D6083"/>
    <w:multiLevelType w:val="singleLevel"/>
    <w:tmpl w:val="75886B12"/>
    <w:lvl w:ilvl="0">
      <w:start w:val="1"/>
      <w:numFmt w:val="lowerLetter"/>
      <w:lvlText w:val="(%1)"/>
      <w:lvlJc w:val="left"/>
      <w:pPr>
        <w:tabs>
          <w:tab w:val="num" w:pos="720"/>
        </w:tabs>
        <w:ind w:left="720" w:hanging="720"/>
      </w:pPr>
      <w:rPr>
        <w:rFonts w:hint="default"/>
      </w:rPr>
    </w:lvl>
  </w:abstractNum>
  <w:abstractNum w:abstractNumId="22" w15:restartNumberingAfterBreak="0">
    <w:nsid w:val="7BB648D7"/>
    <w:multiLevelType w:val="hybridMultilevel"/>
    <w:tmpl w:val="23C23EF0"/>
    <w:lvl w:ilvl="0" w:tplc="F11E8E12">
      <w:start w:val="1"/>
      <w:numFmt w:val="bullet"/>
      <w:lvlText w:val=""/>
      <w:lvlJc w:val="left"/>
      <w:pPr>
        <w:ind w:left="1080" w:hanging="360"/>
      </w:pPr>
      <w:rPr>
        <w:rFonts w:ascii="Symbol" w:hAnsi="Symbol" w:hint="default"/>
        <w:color w:val="D53439"/>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27405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593967">
    <w:abstractNumId w:val="8"/>
  </w:num>
  <w:num w:numId="2" w16cid:durableId="1674064462">
    <w:abstractNumId w:val="5"/>
  </w:num>
  <w:num w:numId="3" w16cid:durableId="381490298">
    <w:abstractNumId w:val="6"/>
  </w:num>
  <w:num w:numId="4" w16cid:durableId="53116674">
    <w:abstractNumId w:val="23"/>
  </w:num>
  <w:num w:numId="5" w16cid:durableId="884298962">
    <w:abstractNumId w:val="17"/>
  </w:num>
  <w:num w:numId="6" w16cid:durableId="1923448498">
    <w:abstractNumId w:val="19"/>
  </w:num>
  <w:num w:numId="7" w16cid:durableId="440688931">
    <w:abstractNumId w:val="1"/>
    <w:lvlOverride w:ilvl="0">
      <w:lvl w:ilvl="0">
        <w:numFmt w:val="bullet"/>
        <w:lvlText w:val=""/>
        <w:legacy w:legacy="1" w:legacySpace="0" w:legacyIndent="360"/>
        <w:lvlJc w:val="left"/>
        <w:rPr>
          <w:rFonts w:ascii="Symbol" w:hAnsi="Symbol" w:hint="default"/>
        </w:rPr>
      </w:lvl>
    </w:lvlOverride>
  </w:num>
  <w:num w:numId="8" w16cid:durableId="634485545">
    <w:abstractNumId w:val="16"/>
  </w:num>
  <w:num w:numId="9" w16cid:durableId="94979010">
    <w:abstractNumId w:val="15"/>
  </w:num>
  <w:num w:numId="10" w16cid:durableId="1380593774">
    <w:abstractNumId w:val="7"/>
  </w:num>
  <w:num w:numId="11" w16cid:durableId="1268195012">
    <w:abstractNumId w:val="20"/>
  </w:num>
  <w:num w:numId="12" w16cid:durableId="1473523919">
    <w:abstractNumId w:val="3"/>
  </w:num>
  <w:num w:numId="13" w16cid:durableId="913319829">
    <w:abstractNumId w:val="4"/>
  </w:num>
  <w:num w:numId="14" w16cid:durableId="1886409841">
    <w:abstractNumId w:val="12"/>
  </w:num>
  <w:num w:numId="15" w16cid:durableId="379207178">
    <w:abstractNumId w:val="9"/>
  </w:num>
  <w:num w:numId="16" w16cid:durableId="1977683559">
    <w:abstractNumId w:val="11"/>
  </w:num>
  <w:num w:numId="17" w16cid:durableId="1817604292">
    <w:abstractNumId w:val="13"/>
  </w:num>
  <w:num w:numId="18" w16cid:durableId="839393239">
    <w:abstractNumId w:val="21"/>
  </w:num>
  <w:num w:numId="19" w16cid:durableId="1785804866">
    <w:abstractNumId w:val="2"/>
  </w:num>
  <w:num w:numId="20" w16cid:durableId="1083724102">
    <w:abstractNumId w:val="18"/>
  </w:num>
  <w:num w:numId="21" w16cid:durableId="894000539">
    <w:abstractNumId w:val="0"/>
  </w:num>
  <w:num w:numId="22" w16cid:durableId="2139912085">
    <w:abstractNumId w:val="14"/>
  </w:num>
  <w:num w:numId="23" w16cid:durableId="1706709584">
    <w:abstractNumId w:val="22"/>
  </w:num>
  <w:num w:numId="24" w16cid:durableId="1087113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3" w:checkStyle="1"/>
  <w:activeWritingStyle w:appName="MSWord" w:lang="en-US" w:vendorID="8" w:dllVersion="513" w:checkStyle="1"/>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30"/>
    <w:rsid w:val="00010A40"/>
    <w:rsid w:val="00072732"/>
    <w:rsid w:val="000E4176"/>
    <w:rsid w:val="001A64BC"/>
    <w:rsid w:val="00235DD2"/>
    <w:rsid w:val="00296017"/>
    <w:rsid w:val="002C2325"/>
    <w:rsid w:val="003A452B"/>
    <w:rsid w:val="003F3C41"/>
    <w:rsid w:val="00417250"/>
    <w:rsid w:val="0042682C"/>
    <w:rsid w:val="004302F0"/>
    <w:rsid w:val="00436A9A"/>
    <w:rsid w:val="00444086"/>
    <w:rsid w:val="004561B9"/>
    <w:rsid w:val="00480A90"/>
    <w:rsid w:val="004A7BA0"/>
    <w:rsid w:val="00510223"/>
    <w:rsid w:val="00512027"/>
    <w:rsid w:val="005568E2"/>
    <w:rsid w:val="005C6CCF"/>
    <w:rsid w:val="00624A7D"/>
    <w:rsid w:val="0063367B"/>
    <w:rsid w:val="0065668B"/>
    <w:rsid w:val="006A08BB"/>
    <w:rsid w:val="00727C43"/>
    <w:rsid w:val="0073445B"/>
    <w:rsid w:val="0075331B"/>
    <w:rsid w:val="00774451"/>
    <w:rsid w:val="007833D9"/>
    <w:rsid w:val="007C0ADA"/>
    <w:rsid w:val="007E6966"/>
    <w:rsid w:val="00843FA0"/>
    <w:rsid w:val="008D1000"/>
    <w:rsid w:val="008D2031"/>
    <w:rsid w:val="008E4ED7"/>
    <w:rsid w:val="00A53AEE"/>
    <w:rsid w:val="00A7592D"/>
    <w:rsid w:val="00AE03EB"/>
    <w:rsid w:val="00B40D11"/>
    <w:rsid w:val="00B63FB8"/>
    <w:rsid w:val="00B9103F"/>
    <w:rsid w:val="00BA1086"/>
    <w:rsid w:val="00BB7655"/>
    <w:rsid w:val="00BF578B"/>
    <w:rsid w:val="00C30AE4"/>
    <w:rsid w:val="00C360ED"/>
    <w:rsid w:val="00C71E6F"/>
    <w:rsid w:val="00C74D0B"/>
    <w:rsid w:val="00C858A3"/>
    <w:rsid w:val="00C963D7"/>
    <w:rsid w:val="00D06D30"/>
    <w:rsid w:val="00D14DEC"/>
    <w:rsid w:val="00D73B14"/>
    <w:rsid w:val="00DB4E2E"/>
    <w:rsid w:val="00DB5129"/>
    <w:rsid w:val="00EE11DA"/>
    <w:rsid w:val="00F02E32"/>
    <w:rsid w:val="00F23428"/>
    <w:rsid w:val="00F413DC"/>
    <w:rsid w:val="00FE7B65"/>
    <w:rsid w:val="00FF286A"/>
    <w:rsid w:val="00FF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322DEE"/>
  <w15:docId w15:val="{77985978-A31A-4B08-8DBF-568B20F4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A40"/>
    <w:rPr>
      <w:rFonts w:ascii="Calibri" w:hAnsi="Calibri"/>
      <w:sz w:val="22"/>
    </w:rPr>
  </w:style>
  <w:style w:type="paragraph" w:styleId="Heading1">
    <w:name w:val="heading 1"/>
    <w:basedOn w:val="Normal"/>
    <w:next w:val="Normal"/>
    <w:qFormat/>
    <w:rsid w:val="0073445B"/>
    <w:pPr>
      <w:keepNext/>
      <w:tabs>
        <w:tab w:val="left" w:pos="720"/>
        <w:tab w:val="left" w:pos="6804"/>
        <w:tab w:val="right" w:pos="9024"/>
      </w:tabs>
      <w:suppressAutoHyphens/>
      <w:spacing w:before="120"/>
      <w:jc w:val="both"/>
      <w:outlineLvl w:val="0"/>
    </w:pPr>
    <w:rPr>
      <w:rFonts w:ascii="Times New Roman" w:hAnsi="Times New Roman"/>
      <w:b/>
      <w:spacing w:val="-3"/>
      <w:sz w:val="24"/>
    </w:rPr>
  </w:style>
  <w:style w:type="paragraph" w:styleId="Heading2">
    <w:name w:val="heading 2"/>
    <w:basedOn w:val="Normal"/>
    <w:next w:val="Normal"/>
    <w:qFormat/>
    <w:rsid w:val="0073445B"/>
    <w:pPr>
      <w:keepNext/>
      <w:suppressAutoHyphens/>
      <w:ind w:left="5103"/>
      <w:jc w:val="both"/>
      <w:outlineLvl w:val="1"/>
    </w:pPr>
    <w:rPr>
      <w:sz w:val="24"/>
      <w:lang w:val="en-US"/>
    </w:rPr>
  </w:style>
  <w:style w:type="paragraph" w:styleId="Heading3">
    <w:name w:val="heading 3"/>
    <w:basedOn w:val="Normal"/>
    <w:next w:val="Normal"/>
    <w:qFormat/>
    <w:rsid w:val="0073445B"/>
    <w:pPr>
      <w:keepNext/>
      <w:suppressAutoHyphens/>
      <w:ind w:left="5670"/>
      <w:jc w:val="center"/>
      <w:outlineLvl w:val="2"/>
    </w:pPr>
    <w:rPr>
      <w:rFonts w:ascii="Arial" w:hAnsi="Arial"/>
      <w:sz w:val="24"/>
    </w:rPr>
  </w:style>
  <w:style w:type="paragraph" w:styleId="Heading4">
    <w:name w:val="heading 4"/>
    <w:basedOn w:val="Normal"/>
    <w:next w:val="Normal"/>
    <w:qFormat/>
    <w:rsid w:val="0073445B"/>
    <w:pPr>
      <w:keepNext/>
      <w:tabs>
        <w:tab w:val="left" w:pos="-720"/>
      </w:tabs>
      <w:suppressAutoHyphens/>
      <w:jc w:val="both"/>
      <w:outlineLvl w:val="3"/>
    </w:pPr>
    <w:rPr>
      <w:rFonts w:ascii="Arial" w:hAnsi="Arial"/>
      <w:spacing w:val="-3"/>
      <w:sz w:val="24"/>
    </w:rPr>
  </w:style>
  <w:style w:type="paragraph" w:styleId="Heading5">
    <w:name w:val="heading 5"/>
    <w:basedOn w:val="Normal"/>
    <w:next w:val="Normal"/>
    <w:qFormat/>
    <w:rsid w:val="0073445B"/>
    <w:pPr>
      <w:keepNext/>
      <w:tabs>
        <w:tab w:val="left" w:pos="709"/>
      </w:tabs>
      <w:outlineLvl w:val="4"/>
    </w:pPr>
    <w:rPr>
      <w:rFonts w:ascii="Arial" w:hAnsi="Arial"/>
      <w:b/>
      <w:sz w:val="24"/>
    </w:rPr>
  </w:style>
  <w:style w:type="paragraph" w:styleId="Heading6">
    <w:name w:val="heading 6"/>
    <w:basedOn w:val="Normal"/>
    <w:next w:val="Normal"/>
    <w:qFormat/>
    <w:rsid w:val="0073445B"/>
    <w:pPr>
      <w:keepNext/>
      <w:suppressAutoHyphens/>
      <w:ind w:left="5670"/>
      <w:jc w:val="both"/>
      <w:outlineLvl w:val="5"/>
    </w:pPr>
    <w:rPr>
      <w:rFonts w:ascii="Arial" w:hAnsi="Arial"/>
      <w:sz w:val="24"/>
    </w:rPr>
  </w:style>
  <w:style w:type="paragraph" w:styleId="Heading7">
    <w:name w:val="heading 7"/>
    <w:basedOn w:val="Normal"/>
    <w:next w:val="Normal"/>
    <w:qFormat/>
    <w:rsid w:val="0073445B"/>
    <w:pPr>
      <w:keepNext/>
      <w:suppressAutoHyphens/>
      <w:ind w:left="4950" w:firstLine="720"/>
      <w:jc w:val="both"/>
      <w:outlineLvl w:val="6"/>
    </w:pPr>
    <w:rPr>
      <w:rFonts w:ascii="Arial" w:hAnsi="Arial"/>
      <w:b/>
      <w:sz w:val="24"/>
    </w:rPr>
  </w:style>
  <w:style w:type="paragraph" w:styleId="Heading8">
    <w:name w:val="heading 8"/>
    <w:basedOn w:val="Normal"/>
    <w:next w:val="Normal"/>
    <w:qFormat/>
    <w:rsid w:val="0073445B"/>
    <w:pPr>
      <w:keepNext/>
      <w:suppressAutoHyphens/>
      <w:ind w:left="5670"/>
      <w:jc w:val="both"/>
      <w:outlineLvl w:val="7"/>
    </w:pPr>
    <w:rPr>
      <w:rFonts w:ascii="Arial" w:hAnsi="Arial"/>
      <w:b/>
      <w:sz w:val="24"/>
      <w:lang w:val="en-US"/>
    </w:rPr>
  </w:style>
  <w:style w:type="paragraph" w:styleId="Heading9">
    <w:name w:val="heading 9"/>
    <w:basedOn w:val="Normal"/>
    <w:next w:val="Normal"/>
    <w:qFormat/>
    <w:rsid w:val="0073445B"/>
    <w:pPr>
      <w:keepNext/>
      <w:suppressAutoHyphens/>
      <w:ind w:left="5670"/>
      <w:jc w:val="both"/>
      <w:outlineLvl w:val="8"/>
    </w:pPr>
    <w:rPr>
      <w:rFonts w:ascii="Arial" w:hAnsi="Arial"/>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0D11"/>
    <w:pPr>
      <w:tabs>
        <w:tab w:val="center" w:pos="4513"/>
        <w:tab w:val="right" w:pos="9026"/>
      </w:tabs>
    </w:pPr>
  </w:style>
  <w:style w:type="character" w:customStyle="1" w:styleId="HeaderChar">
    <w:name w:val="Header Char"/>
    <w:basedOn w:val="DefaultParagraphFont"/>
    <w:link w:val="Header"/>
    <w:rsid w:val="00B40D11"/>
    <w:rPr>
      <w:rFonts w:ascii="Calibri" w:hAnsi="Calibri"/>
      <w:sz w:val="22"/>
    </w:rPr>
  </w:style>
  <w:style w:type="paragraph" w:styleId="Footer">
    <w:name w:val="footer"/>
    <w:basedOn w:val="Normal"/>
    <w:link w:val="FooterChar"/>
    <w:unhideWhenUsed/>
    <w:rsid w:val="00B40D11"/>
    <w:pPr>
      <w:tabs>
        <w:tab w:val="center" w:pos="4513"/>
        <w:tab w:val="right" w:pos="9026"/>
      </w:tabs>
    </w:pPr>
  </w:style>
  <w:style w:type="character" w:customStyle="1" w:styleId="FooterChar">
    <w:name w:val="Footer Char"/>
    <w:basedOn w:val="DefaultParagraphFont"/>
    <w:link w:val="Footer"/>
    <w:rsid w:val="00B40D11"/>
    <w:rPr>
      <w:rFonts w:ascii="Calibri" w:hAnsi="Calibri"/>
      <w:sz w:val="22"/>
    </w:rPr>
  </w:style>
  <w:style w:type="table" w:styleId="TableGrid">
    <w:name w:val="Table Grid"/>
    <w:basedOn w:val="TableNormal"/>
    <w:uiPriority w:val="39"/>
    <w:rsid w:val="00DB5129"/>
    <w:pPr>
      <w:widowControl w:val="0"/>
      <w:autoSpaceDE w:val="0"/>
      <w:autoSpaceDN w:val="0"/>
    </w:pPr>
    <w:rPr>
      <w:rFonts w:ascii="Arial" w:eastAsia="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5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tishwidows.co.uk/bulk-annu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27884-F946-4E05-934A-60A0970D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Renishaw plc</vt:lpstr>
    </vt:vector>
  </TitlesOfParts>
  <Company>Renishaw PLC</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plc</dc:title>
  <dc:creator>Paula Bennett</dc:creator>
  <cp:lastModifiedBy>Ian Wallace</cp:lastModifiedBy>
  <cp:revision>3</cp:revision>
  <cp:lastPrinted>2007-02-19T07:44:00Z</cp:lastPrinted>
  <dcterms:created xsi:type="dcterms:W3CDTF">2025-01-28T14:19:00Z</dcterms:created>
  <dcterms:modified xsi:type="dcterms:W3CDTF">2025-01-28T14:31:00Z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