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75A8D" w14:textId="77777777" w:rsidR="0073088A" w:rsidRPr="00121BFD" w:rsidRDefault="00121BFD" w:rsidP="0016753A">
      <w:pPr>
        <w:ind w:right="567"/>
        <w:rPr>
          <w:rFonts w:ascii="Arial" w:hAnsi="Arial" w:cs="Arial"/>
        </w:rPr>
      </w:pPr>
      <w:r w:rsidRPr="00121BFD">
        <w:rPr>
          <w:rFonts w:ascii="Arial" w:hAnsi="Arial" w:cs="Arial"/>
          <w:noProof/>
          <w:lang w:eastAsia="ja-JP"/>
        </w:rPr>
        <w:drawing>
          <wp:anchor distT="0" distB="0" distL="114300" distR="114300" simplePos="0" relativeHeight="251657728" behindDoc="0" locked="0" layoutInCell="0" allowOverlap="1" wp14:anchorId="12597409" wp14:editId="0CC53E63">
            <wp:simplePos x="0" y="0"/>
            <wp:positionH relativeFrom="column">
              <wp:posOffset>4209415</wp:posOffset>
            </wp:positionH>
            <wp:positionV relativeFrom="paragraph">
              <wp:posOffset>-381000</wp:posOffset>
            </wp:positionV>
            <wp:extent cx="2105025" cy="790575"/>
            <wp:effectExtent l="0" t="0" r="9525" b="9525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413AF8" w14:textId="77777777" w:rsidR="004B30F4" w:rsidRDefault="004B30F4" w:rsidP="004B30F4">
      <w:pPr>
        <w:pStyle w:val="Title"/>
        <w:spacing w:line="288" w:lineRule="auto"/>
        <w:ind w:left="0" w:right="666"/>
        <w:rPr>
          <w:spacing w:val="-3"/>
          <w:sz w:val="24"/>
          <w:szCs w:val="24"/>
        </w:rPr>
      </w:pPr>
      <w:r>
        <w:rPr>
          <w:sz w:val="24"/>
        </w:rPr>
        <w:t>A Renishaw bemutatja az innovatív Equator</w:t>
      </w:r>
      <w:r>
        <w:t>-</w:t>
      </w:r>
      <w:r>
        <w:rPr>
          <w:sz w:val="24"/>
        </w:rPr>
        <w:t>X</w:t>
      </w:r>
      <w:r>
        <w:rPr>
          <w:sz w:val="16"/>
          <w:vertAlign w:val="superscript"/>
        </w:rPr>
        <w:t>TM</w:t>
      </w:r>
      <w:r>
        <w:rPr>
          <w:sz w:val="24"/>
        </w:rPr>
        <w:t xml:space="preserve"> 500 kettős felhasználású ellenőrző rendszert.</w:t>
      </w:r>
    </w:p>
    <w:p w14:paraId="327FF0C5" w14:textId="77777777" w:rsidR="004B30F4" w:rsidRDefault="004B30F4" w:rsidP="004B30F4">
      <w:pPr>
        <w:pStyle w:val="Title"/>
        <w:spacing w:line="288" w:lineRule="auto"/>
        <w:ind w:left="0" w:right="666"/>
        <w:rPr>
          <w:spacing w:val="-3"/>
          <w:sz w:val="24"/>
          <w:szCs w:val="24"/>
        </w:rPr>
      </w:pPr>
    </w:p>
    <w:p w14:paraId="714483A4" w14:textId="77777777" w:rsidR="004B30F4" w:rsidRPr="00E2127F" w:rsidRDefault="004B30F4" w:rsidP="004B30F4">
      <w:pPr>
        <w:pStyle w:val="Title"/>
        <w:spacing w:line="288" w:lineRule="auto"/>
        <w:ind w:left="0" w:right="666"/>
        <w:rPr>
          <w:b w:val="0"/>
          <w:bCs w:val="0"/>
          <w:color w:val="201A15"/>
          <w:sz w:val="20"/>
          <w:szCs w:val="20"/>
        </w:rPr>
      </w:pPr>
      <w:r>
        <w:rPr>
          <w:b w:val="0"/>
          <w:color w:val="201A15"/>
          <w:sz w:val="20"/>
        </w:rPr>
        <w:t>Az új rendszer kibővíti a gyártóüzemi folyamatszabályozáshoz, a nagysebességű mérésekhez és a minőségbiztosításhoz használható sokoldalú Equator</w:t>
      </w:r>
      <w:r>
        <w:rPr>
          <w:b w:val="0"/>
          <w:color w:val="201A15"/>
          <w:sz w:val="20"/>
          <w:vertAlign w:val="superscript"/>
        </w:rPr>
        <w:t>TM</w:t>
      </w:r>
      <w:r>
        <w:rPr>
          <w:b w:val="0"/>
          <w:color w:val="201A15"/>
          <w:sz w:val="20"/>
        </w:rPr>
        <w:t xml:space="preserve"> mérőeszközök választékát. </w:t>
      </w:r>
    </w:p>
    <w:p w14:paraId="6C7B0EC1" w14:textId="77777777" w:rsidR="004B30F4" w:rsidRPr="004B30F4" w:rsidRDefault="004B30F4" w:rsidP="004B30F4">
      <w:pPr>
        <w:pStyle w:val="BodyText"/>
        <w:spacing w:before="24"/>
        <w:rPr>
          <w:rFonts w:eastAsia="Arial" w:cs="Arial"/>
          <w:b/>
          <w:bCs/>
          <w:sz w:val="22"/>
          <w:szCs w:val="22"/>
          <w:lang w:val="hu-HU"/>
        </w:rPr>
      </w:pPr>
    </w:p>
    <w:p w14:paraId="47F1FCC5" w14:textId="77777777" w:rsidR="004B30F4" w:rsidRPr="004B30F4" w:rsidRDefault="004B30F4" w:rsidP="004B30F4">
      <w:pPr>
        <w:pStyle w:val="BodyText"/>
        <w:spacing w:line="288" w:lineRule="auto"/>
        <w:ind w:right="505"/>
        <w:rPr>
          <w:rFonts w:eastAsia="Arial" w:cs="Arial"/>
          <w:color w:val="201A15"/>
          <w:spacing w:val="-4"/>
          <w:lang w:val="hu-HU"/>
        </w:rPr>
      </w:pPr>
      <w:r w:rsidRPr="004B30F4">
        <w:rPr>
          <w:color w:val="201A15"/>
          <w:lang w:val="hu-HU"/>
        </w:rPr>
        <w:t xml:space="preserve">A Renishaw - mint mérő- és gyártórendszerek terén világszerte vezető szerepet betöltő vállalat - örömmel jelenti be a gyártóüzemi folyamatok ellenőrzésére szánt legújabb úttörő megoldásának, az Equator-X 500 kettős felhasználású rendszerének bevezetését. Ez az innovatív berendezés egyedülálló képességeket biztosít a gyártók számára világszerte, hogy a folyamatuk által támasztott kihíváshoz kiválasszák, melyik az optimális: a felgyorsított mérőgépes mérés, vagy a nagy sebességű sorozatmérés – mindkét funkciót hatékonyan alkalmazva egy berendezésben. </w:t>
      </w:r>
    </w:p>
    <w:p w14:paraId="297AF8BF" w14:textId="77777777" w:rsidR="004B30F4" w:rsidRPr="004B30F4" w:rsidRDefault="004B30F4" w:rsidP="004B30F4">
      <w:pPr>
        <w:pStyle w:val="BodyText"/>
        <w:spacing w:line="288" w:lineRule="auto"/>
        <w:ind w:right="505"/>
        <w:rPr>
          <w:rFonts w:eastAsia="Arial" w:cs="Arial"/>
          <w:color w:val="201A15"/>
          <w:spacing w:val="-4"/>
          <w:lang w:val="hu-HU"/>
        </w:rPr>
      </w:pPr>
    </w:p>
    <w:p w14:paraId="6DA56F6E" w14:textId="77777777" w:rsidR="004B30F4" w:rsidRPr="004B30F4" w:rsidRDefault="004B30F4" w:rsidP="004B30F4">
      <w:pPr>
        <w:pStyle w:val="BodyText"/>
        <w:spacing w:line="288" w:lineRule="auto"/>
        <w:ind w:right="505"/>
        <w:rPr>
          <w:rFonts w:eastAsia="Arial" w:cs="Arial"/>
          <w:color w:val="201A15"/>
          <w:spacing w:val="-4"/>
          <w:lang w:val="hu-HU"/>
        </w:rPr>
      </w:pPr>
      <w:r w:rsidRPr="004B30F4">
        <w:rPr>
          <w:color w:val="201A15"/>
          <w:lang w:val="hu-HU"/>
        </w:rPr>
        <w:t>Az Equator</w:t>
      </w:r>
      <w:r w:rsidRPr="004B30F4">
        <w:rPr>
          <w:color w:val="201A15"/>
          <w:lang w:val="hu-HU"/>
        </w:rPr>
        <w:noBreakHyphen/>
        <w:t>X rendszert úgy tervezték, hogy megfeleljen azon gyártóüzemi kihívásoknak, ahol a termékek sokfélesége és a gyakori tervezési módosítások olyan mérőrendszereket igényelnek, amelyek gyorsaságot, rugalmasságot és egyszerű használatot biztosítanak, hogy lépést tudjanak tartani a megmunkálási képességekkel. A főbb előnyök közé tartozik a nagyobb áteresztőképesség a nagy sebességű méréssel, amely növeli az ellenőrzési kapacitást; az alkatrészek teljes mértékben nyomon követhető folyamatközi ellenőrzése a gyártóüzemben, a gyártási folyamat folyamatos hitelesítése; és az egyes alkalmazásokhoz szükséges optimális mérési módszer egyetlen eszközzel történő kiválasztásának rugalmassága.</w:t>
      </w:r>
    </w:p>
    <w:p w14:paraId="7EB0CA11" w14:textId="77777777" w:rsidR="004B30F4" w:rsidRPr="004B30F4" w:rsidRDefault="004B30F4" w:rsidP="004B30F4">
      <w:pPr>
        <w:pStyle w:val="BodyText"/>
        <w:spacing w:line="288" w:lineRule="auto"/>
        <w:ind w:right="505"/>
        <w:rPr>
          <w:rFonts w:eastAsia="Arial" w:cs="Arial"/>
          <w:color w:val="201A15"/>
          <w:spacing w:val="-4"/>
          <w:lang w:val="hu-HU"/>
        </w:rPr>
      </w:pPr>
    </w:p>
    <w:p w14:paraId="5F44D8CC" w14:textId="77777777" w:rsidR="004B30F4" w:rsidRPr="004B30F4" w:rsidRDefault="004B30F4" w:rsidP="004B30F4">
      <w:pPr>
        <w:pStyle w:val="BodyText"/>
        <w:spacing w:line="288" w:lineRule="auto"/>
        <w:ind w:right="505"/>
        <w:rPr>
          <w:rFonts w:eastAsia="Arial" w:cs="Arial"/>
          <w:b/>
          <w:bCs/>
          <w:color w:val="201A15"/>
          <w:spacing w:val="-4"/>
          <w:lang w:val="hu-HU"/>
        </w:rPr>
      </w:pPr>
      <w:r w:rsidRPr="004B30F4">
        <w:rPr>
          <w:b/>
          <w:color w:val="201A15"/>
          <w:lang w:val="hu-HU"/>
        </w:rPr>
        <w:t>Sebesség és rugalmasság</w:t>
      </w:r>
    </w:p>
    <w:p w14:paraId="6F3DF63A" w14:textId="77777777" w:rsidR="004B30F4" w:rsidRPr="004B30F4" w:rsidRDefault="004B30F4" w:rsidP="004B30F4">
      <w:pPr>
        <w:pStyle w:val="BodyText"/>
        <w:spacing w:line="288" w:lineRule="auto"/>
        <w:ind w:right="505"/>
        <w:rPr>
          <w:rFonts w:eastAsia="Arial" w:cs="Arial"/>
          <w:color w:val="201A15"/>
          <w:spacing w:val="-4"/>
          <w:lang w:val="hu-HU"/>
        </w:rPr>
      </w:pPr>
      <w:r w:rsidRPr="004B30F4">
        <w:rPr>
          <w:color w:val="201A15"/>
          <w:lang w:val="hu-HU"/>
        </w:rPr>
        <w:t xml:space="preserve">Az opcionális felgyorsított mérőgépes mérés vagy nagysebességű sorozatmérés módok a gyorsan változó gyártási környezetek eltérő követelményeit elégítik ki. </w:t>
      </w:r>
    </w:p>
    <w:p w14:paraId="371C1365" w14:textId="77777777" w:rsidR="004B30F4" w:rsidRPr="004B30F4" w:rsidRDefault="004B30F4" w:rsidP="004B30F4">
      <w:pPr>
        <w:pStyle w:val="BodyText"/>
        <w:spacing w:line="288" w:lineRule="auto"/>
        <w:ind w:right="505"/>
        <w:rPr>
          <w:rFonts w:eastAsia="Arial" w:cs="Arial"/>
          <w:color w:val="201A15"/>
          <w:spacing w:val="-4"/>
          <w:lang w:val="hu-HU"/>
        </w:rPr>
      </w:pPr>
    </w:p>
    <w:p w14:paraId="4B20DB23" w14:textId="77777777" w:rsidR="004B30F4" w:rsidRPr="004B30F4" w:rsidRDefault="004B30F4" w:rsidP="004B30F4">
      <w:pPr>
        <w:pStyle w:val="BodyText"/>
        <w:spacing w:line="288" w:lineRule="auto"/>
        <w:ind w:right="505"/>
        <w:rPr>
          <w:rFonts w:eastAsia="Arial" w:cs="Arial"/>
          <w:color w:val="201A15"/>
          <w:spacing w:val="-4"/>
          <w:lang w:val="hu-HU"/>
        </w:rPr>
      </w:pPr>
      <w:r w:rsidRPr="004B30F4">
        <w:rPr>
          <w:color w:val="201A15"/>
          <w:lang w:val="hu-HU"/>
        </w:rPr>
        <w:t>Felgyorsított mérőgép módban az Equator-X rendszer akár 250 mm/másodperc szkennelési sebességgel méri az alkatrészeket, jelentősen javítva ezzel a kis és közepes méretű tételek és nagy darabszámú alkatrészek gyártói számára az ellenőrzési kapacitást és az áteresztőképességet. Ez a mód különösen hasznos a gép melletti első ellenőrzéshez, vagy akár a gyártósori 100%-os ellenőrzéshez.</w:t>
      </w:r>
    </w:p>
    <w:p w14:paraId="4683B890" w14:textId="77777777" w:rsidR="004B30F4" w:rsidRPr="004B30F4" w:rsidRDefault="004B30F4" w:rsidP="004B30F4">
      <w:pPr>
        <w:pStyle w:val="BodyText"/>
        <w:spacing w:line="288" w:lineRule="auto"/>
        <w:ind w:right="505"/>
        <w:rPr>
          <w:rFonts w:eastAsia="Arial" w:cs="Arial"/>
          <w:color w:val="201A15"/>
          <w:spacing w:val="-4"/>
          <w:lang w:val="hu-HU"/>
        </w:rPr>
      </w:pPr>
    </w:p>
    <w:p w14:paraId="464C46E7" w14:textId="77777777" w:rsidR="004B30F4" w:rsidRPr="004B30F4" w:rsidRDefault="004B30F4" w:rsidP="004B30F4">
      <w:pPr>
        <w:pStyle w:val="BodyText"/>
        <w:spacing w:line="288" w:lineRule="auto"/>
        <w:ind w:right="505"/>
        <w:rPr>
          <w:rFonts w:eastAsia="Arial" w:cs="Arial"/>
          <w:color w:val="201A15"/>
          <w:spacing w:val="-4"/>
          <w:lang w:val="hu-HU"/>
        </w:rPr>
      </w:pPr>
      <w:r w:rsidRPr="004B30F4">
        <w:rPr>
          <w:color w:val="201A15"/>
          <w:lang w:val="hu-HU"/>
        </w:rPr>
        <w:t>Nagysebességű sorozatmérő módban az Equator-X rendszer rendkívül nagy, akár 500 mm/másodperc szkennelési sebességet biztosít, és ideális az azonos alkatrészből álló nagy tételek ellenőrzésére, amikor a ciklusidő az elsődleges szempont. Emellett nagy sebességű mérési lehetőséget biztosít olyan környezetekben, ahol a környezet változó hőmérséklete kihívást jelent.</w:t>
      </w:r>
    </w:p>
    <w:p w14:paraId="7748D68B" w14:textId="77777777" w:rsidR="004B30F4" w:rsidRPr="004B30F4" w:rsidRDefault="004B30F4" w:rsidP="004B30F4">
      <w:pPr>
        <w:pStyle w:val="BodyText"/>
        <w:spacing w:line="288" w:lineRule="auto"/>
        <w:ind w:right="505"/>
        <w:rPr>
          <w:rFonts w:eastAsia="Arial" w:cs="Arial"/>
          <w:color w:val="201A15"/>
          <w:spacing w:val="-4"/>
          <w:lang w:val="hu-HU"/>
        </w:rPr>
      </w:pPr>
    </w:p>
    <w:p w14:paraId="405B8F67" w14:textId="77777777" w:rsidR="004B30F4" w:rsidRPr="00233964" w:rsidRDefault="004B30F4" w:rsidP="004B30F4">
      <w:pPr>
        <w:pStyle w:val="BodyText"/>
        <w:spacing w:line="288" w:lineRule="auto"/>
        <w:ind w:right="505"/>
        <w:rPr>
          <w:rFonts w:eastAsia="Arial" w:cs="Arial"/>
          <w:b/>
          <w:bCs/>
          <w:color w:val="201A15"/>
          <w:spacing w:val="-4"/>
        </w:rPr>
      </w:pPr>
      <w:proofErr w:type="spellStart"/>
      <w:r>
        <w:rPr>
          <w:b/>
          <w:color w:val="201A15"/>
        </w:rPr>
        <w:t>Innovatív</w:t>
      </w:r>
      <w:proofErr w:type="spellEnd"/>
      <w:r>
        <w:rPr>
          <w:b/>
          <w:color w:val="201A15"/>
        </w:rPr>
        <w:t xml:space="preserve"> </w:t>
      </w:r>
      <w:proofErr w:type="spellStart"/>
      <w:r>
        <w:rPr>
          <w:b/>
          <w:color w:val="201A15"/>
        </w:rPr>
        <w:t>technológia</w:t>
      </w:r>
      <w:proofErr w:type="spellEnd"/>
      <w:r>
        <w:rPr>
          <w:b/>
          <w:color w:val="201A15"/>
        </w:rPr>
        <w:t xml:space="preserve"> </w:t>
      </w:r>
      <w:proofErr w:type="spellStart"/>
      <w:r>
        <w:rPr>
          <w:b/>
          <w:color w:val="201A15"/>
        </w:rPr>
        <w:t>és</w:t>
      </w:r>
      <w:proofErr w:type="spellEnd"/>
      <w:r>
        <w:rPr>
          <w:b/>
          <w:color w:val="201A15"/>
        </w:rPr>
        <w:t xml:space="preserve"> </w:t>
      </w:r>
      <w:proofErr w:type="spellStart"/>
      <w:r>
        <w:rPr>
          <w:b/>
          <w:color w:val="201A15"/>
        </w:rPr>
        <w:t>sokoldalú</w:t>
      </w:r>
      <w:proofErr w:type="spellEnd"/>
      <w:r>
        <w:rPr>
          <w:b/>
          <w:color w:val="201A15"/>
        </w:rPr>
        <w:t xml:space="preserve"> </w:t>
      </w:r>
      <w:proofErr w:type="spellStart"/>
      <w:r>
        <w:rPr>
          <w:b/>
          <w:color w:val="201A15"/>
        </w:rPr>
        <w:t>szoftverplatform</w:t>
      </w:r>
      <w:proofErr w:type="spellEnd"/>
    </w:p>
    <w:p w14:paraId="2EC017DC" w14:textId="77777777" w:rsidR="004B30F4" w:rsidRDefault="004B30F4" w:rsidP="004B30F4">
      <w:pPr>
        <w:pStyle w:val="BodyText"/>
        <w:spacing w:line="288" w:lineRule="auto"/>
        <w:ind w:right="505"/>
        <w:rPr>
          <w:rStyle w:val="normaltextrun"/>
          <w:color w:val="201A15"/>
          <w:shd w:val="clear" w:color="auto" w:fill="FFFFFF"/>
        </w:rPr>
      </w:pPr>
      <w:r>
        <w:rPr>
          <w:color w:val="201A15"/>
        </w:rPr>
        <w:t xml:space="preserve">Az Equator-X 500 </w:t>
      </w:r>
      <w:proofErr w:type="spellStart"/>
      <w:r>
        <w:rPr>
          <w:color w:val="201A15"/>
        </w:rPr>
        <w:t>rendszer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egy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párhuzamos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kinematikájú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struktúra</w:t>
      </w:r>
      <w:proofErr w:type="spellEnd"/>
      <w:r>
        <w:rPr>
          <w:color w:val="201A15"/>
        </w:rPr>
        <w:t xml:space="preserve">, </w:t>
      </w:r>
      <w:proofErr w:type="spellStart"/>
      <w:r>
        <w:rPr>
          <w:color w:val="201A15"/>
        </w:rPr>
        <w:t>független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meghajtással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és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vázszerkezettel</w:t>
      </w:r>
      <w:proofErr w:type="spellEnd"/>
      <w:r>
        <w:rPr>
          <w:color w:val="201A15"/>
        </w:rPr>
        <w:t xml:space="preserve">. </w:t>
      </w:r>
      <w:r>
        <w:rPr>
          <w:rStyle w:val="normaltextrun"/>
          <w:color w:val="201A15"/>
          <w:shd w:val="clear" w:color="auto" w:fill="FFFFFF"/>
        </w:rPr>
        <w:t xml:space="preserve">A </w:t>
      </w:r>
      <w:proofErr w:type="spellStart"/>
      <w:r>
        <w:rPr>
          <w:rStyle w:val="normaltextrun"/>
          <w:color w:val="201A15"/>
          <w:shd w:val="clear" w:color="auto" w:fill="FFFFFF"/>
        </w:rPr>
        <w:t>nagy</w:t>
      </w:r>
      <w:proofErr w:type="spellEnd"/>
      <w:r>
        <w:rPr>
          <w:rStyle w:val="normaltextrun"/>
          <w:color w:val="201A15"/>
          <w:shd w:val="clear" w:color="auto" w:fill="FFFFFF"/>
        </w:rPr>
        <w:t xml:space="preserve"> </w:t>
      </w:r>
      <w:proofErr w:type="spellStart"/>
      <w:r>
        <w:rPr>
          <w:rStyle w:val="normaltextrun"/>
          <w:color w:val="201A15"/>
          <w:shd w:val="clear" w:color="auto" w:fill="FFFFFF"/>
        </w:rPr>
        <w:t>sebességű</w:t>
      </w:r>
      <w:proofErr w:type="spellEnd"/>
      <w:r>
        <w:rPr>
          <w:rStyle w:val="normaltextrun"/>
          <w:color w:val="201A15"/>
          <w:shd w:val="clear" w:color="auto" w:fill="FFFFFF"/>
        </w:rPr>
        <w:t xml:space="preserve"> </w:t>
      </w:r>
      <w:proofErr w:type="spellStart"/>
      <w:r>
        <w:rPr>
          <w:rStyle w:val="normaltextrun"/>
          <w:color w:val="201A15"/>
          <w:shd w:val="clear" w:color="auto" w:fill="FFFFFF"/>
        </w:rPr>
        <w:t>mozgás</w:t>
      </w:r>
      <w:proofErr w:type="spellEnd"/>
      <w:r>
        <w:rPr>
          <w:rStyle w:val="normaltextrun"/>
          <w:color w:val="201A15"/>
          <w:shd w:val="clear" w:color="auto" w:fill="FFFFFF"/>
        </w:rPr>
        <w:t xml:space="preserve"> a </w:t>
      </w:r>
      <w:proofErr w:type="spellStart"/>
      <w:r>
        <w:rPr>
          <w:rStyle w:val="normaltextrun"/>
          <w:color w:val="201A15"/>
          <w:shd w:val="clear" w:color="auto" w:fill="FFFFFF"/>
        </w:rPr>
        <w:t>méréstechnikai</w:t>
      </w:r>
      <w:proofErr w:type="spellEnd"/>
      <w:r>
        <w:rPr>
          <w:rStyle w:val="normaltextrun"/>
          <w:color w:val="201A15"/>
          <w:shd w:val="clear" w:color="auto" w:fill="FFFFFF"/>
        </w:rPr>
        <w:t xml:space="preserve"> </w:t>
      </w:r>
      <w:proofErr w:type="spellStart"/>
      <w:r>
        <w:rPr>
          <w:rStyle w:val="normaltextrun"/>
          <w:color w:val="201A15"/>
          <w:shd w:val="clear" w:color="auto" w:fill="FFFFFF"/>
        </w:rPr>
        <w:t>követelmények</w:t>
      </w:r>
      <w:proofErr w:type="spellEnd"/>
      <w:r>
        <w:rPr>
          <w:rStyle w:val="normaltextrun"/>
          <w:color w:val="201A15"/>
          <w:shd w:val="clear" w:color="auto" w:fill="FFFFFF"/>
        </w:rPr>
        <w:t xml:space="preserve"> </w:t>
      </w:r>
      <w:proofErr w:type="spellStart"/>
      <w:r>
        <w:rPr>
          <w:rStyle w:val="normaltextrun"/>
          <w:color w:val="201A15"/>
          <w:shd w:val="clear" w:color="auto" w:fill="FFFFFF"/>
        </w:rPr>
        <w:t>betartása</w:t>
      </w:r>
      <w:proofErr w:type="spellEnd"/>
      <w:r>
        <w:rPr>
          <w:rStyle w:val="normaltextrun"/>
          <w:color w:val="201A15"/>
          <w:shd w:val="clear" w:color="auto" w:fill="FFFFFF"/>
        </w:rPr>
        <w:t xml:space="preserve"> </w:t>
      </w:r>
      <w:proofErr w:type="spellStart"/>
      <w:r>
        <w:rPr>
          <w:rStyle w:val="normaltextrun"/>
          <w:color w:val="201A15"/>
          <w:shd w:val="clear" w:color="auto" w:fill="FFFFFF"/>
        </w:rPr>
        <w:t>mellett</w:t>
      </w:r>
      <w:proofErr w:type="spellEnd"/>
      <w:r>
        <w:rPr>
          <w:rStyle w:val="normaltextrun"/>
          <w:color w:val="201A15"/>
          <w:shd w:val="clear" w:color="auto" w:fill="FFFFFF"/>
        </w:rPr>
        <w:t xml:space="preserve"> </w:t>
      </w:r>
      <w:proofErr w:type="spellStart"/>
      <w:r>
        <w:rPr>
          <w:rStyle w:val="normaltextrun"/>
          <w:color w:val="201A15"/>
          <w:shd w:val="clear" w:color="auto" w:fill="FFFFFF"/>
        </w:rPr>
        <w:lastRenderedPageBreak/>
        <w:t>érhető</w:t>
      </w:r>
      <w:proofErr w:type="spellEnd"/>
      <w:r>
        <w:rPr>
          <w:rStyle w:val="normaltextrun"/>
          <w:color w:val="201A15"/>
          <w:shd w:val="clear" w:color="auto" w:fill="FFFFFF"/>
        </w:rPr>
        <w:t xml:space="preserve"> </w:t>
      </w:r>
      <w:proofErr w:type="spellStart"/>
      <w:r>
        <w:rPr>
          <w:rStyle w:val="normaltextrun"/>
          <w:color w:val="201A15"/>
          <w:shd w:val="clear" w:color="auto" w:fill="FFFFFF"/>
        </w:rPr>
        <w:t>el</w:t>
      </w:r>
      <w:proofErr w:type="spellEnd"/>
      <w:r>
        <w:rPr>
          <w:rStyle w:val="normaltextrun"/>
          <w:color w:val="201A15"/>
          <w:shd w:val="clear" w:color="auto" w:fill="FFFFFF"/>
        </w:rPr>
        <w:t xml:space="preserve"> </w:t>
      </w:r>
      <w:proofErr w:type="spellStart"/>
      <w:r>
        <w:rPr>
          <w:rStyle w:val="normaltextrun"/>
          <w:color w:val="201A15"/>
          <w:shd w:val="clear" w:color="auto" w:fill="FFFFFF"/>
        </w:rPr>
        <w:t>olyan</w:t>
      </w:r>
      <w:proofErr w:type="spellEnd"/>
      <w:r>
        <w:rPr>
          <w:rStyle w:val="normaltextrun"/>
          <w:color w:val="201A15"/>
          <w:shd w:val="clear" w:color="auto" w:fill="FFFFFF"/>
        </w:rPr>
        <w:t xml:space="preserve"> </w:t>
      </w:r>
      <w:proofErr w:type="spellStart"/>
      <w:r>
        <w:rPr>
          <w:rStyle w:val="normaltextrun"/>
          <w:color w:val="201A15"/>
          <w:shd w:val="clear" w:color="auto" w:fill="FFFFFF"/>
        </w:rPr>
        <w:t>tervezési</w:t>
      </w:r>
      <w:proofErr w:type="spellEnd"/>
      <w:r>
        <w:rPr>
          <w:rStyle w:val="normaltextrun"/>
          <w:color w:val="201A15"/>
          <w:shd w:val="clear" w:color="auto" w:fill="FFFFFF"/>
        </w:rPr>
        <w:t xml:space="preserve"> </w:t>
      </w:r>
      <w:proofErr w:type="spellStart"/>
      <w:r>
        <w:rPr>
          <w:rStyle w:val="normaltextrun"/>
          <w:color w:val="201A15"/>
          <w:shd w:val="clear" w:color="auto" w:fill="FFFFFF"/>
        </w:rPr>
        <w:t>jellemzőknek</w:t>
      </w:r>
      <w:proofErr w:type="spellEnd"/>
      <w:r>
        <w:rPr>
          <w:rStyle w:val="normaltextrun"/>
          <w:color w:val="201A15"/>
          <w:shd w:val="clear" w:color="auto" w:fill="FFFFFF"/>
        </w:rPr>
        <w:t xml:space="preserve"> </w:t>
      </w:r>
      <w:proofErr w:type="spellStart"/>
      <w:r>
        <w:rPr>
          <w:rStyle w:val="normaltextrun"/>
          <w:color w:val="201A15"/>
          <w:shd w:val="clear" w:color="auto" w:fill="FFFFFF"/>
        </w:rPr>
        <w:t>köszönhetően</w:t>
      </w:r>
      <w:proofErr w:type="spellEnd"/>
      <w:r>
        <w:rPr>
          <w:rStyle w:val="normaltextrun"/>
          <w:color w:val="201A15"/>
          <w:shd w:val="clear" w:color="auto" w:fill="FFFFFF"/>
        </w:rPr>
        <w:t xml:space="preserve">, mint a </w:t>
      </w:r>
      <w:proofErr w:type="spellStart"/>
      <w:r>
        <w:rPr>
          <w:rStyle w:val="normaltextrun"/>
          <w:color w:val="201A15"/>
          <w:shd w:val="clear" w:color="auto" w:fill="FFFFFF"/>
        </w:rPr>
        <w:t>szénszálas</w:t>
      </w:r>
      <w:proofErr w:type="spellEnd"/>
      <w:r>
        <w:rPr>
          <w:rStyle w:val="normaltextrun"/>
          <w:color w:val="201A15"/>
          <w:shd w:val="clear" w:color="auto" w:fill="FFFFFF"/>
        </w:rPr>
        <w:t xml:space="preserve"> </w:t>
      </w:r>
      <w:proofErr w:type="spellStart"/>
      <w:r>
        <w:rPr>
          <w:rStyle w:val="normaltextrun"/>
          <w:color w:val="201A15"/>
          <w:shd w:val="clear" w:color="auto" w:fill="FFFFFF"/>
        </w:rPr>
        <w:t>mérőkarok</w:t>
      </w:r>
      <w:proofErr w:type="spellEnd"/>
      <w:r>
        <w:rPr>
          <w:rStyle w:val="normaltextrun"/>
          <w:color w:val="201A15"/>
          <w:shd w:val="clear" w:color="auto" w:fill="FFFFFF"/>
        </w:rPr>
        <w:t xml:space="preserve">, a </w:t>
      </w:r>
      <w:proofErr w:type="spellStart"/>
      <w:r>
        <w:rPr>
          <w:rStyle w:val="normaltextrun"/>
          <w:color w:val="201A15"/>
          <w:shd w:val="clear" w:color="auto" w:fill="FFFFFF"/>
        </w:rPr>
        <w:t>lineáris</w:t>
      </w:r>
      <w:proofErr w:type="spellEnd"/>
      <w:r>
        <w:rPr>
          <w:rStyle w:val="normaltextrun"/>
          <w:color w:val="201A15"/>
          <w:shd w:val="clear" w:color="auto" w:fill="FFFFFF"/>
        </w:rPr>
        <w:t xml:space="preserve"> </w:t>
      </w:r>
      <w:proofErr w:type="spellStart"/>
      <w:r>
        <w:rPr>
          <w:rStyle w:val="normaltextrun"/>
          <w:color w:val="201A15"/>
          <w:shd w:val="clear" w:color="auto" w:fill="FFFFFF"/>
        </w:rPr>
        <w:t>motoros</w:t>
      </w:r>
      <w:proofErr w:type="spellEnd"/>
      <w:r>
        <w:rPr>
          <w:rStyle w:val="normaltextrun"/>
          <w:color w:val="201A15"/>
          <w:shd w:val="clear" w:color="auto" w:fill="FFFFFF"/>
        </w:rPr>
        <w:t xml:space="preserve"> </w:t>
      </w:r>
      <w:proofErr w:type="spellStart"/>
      <w:r>
        <w:rPr>
          <w:rStyle w:val="normaltextrun"/>
          <w:color w:val="201A15"/>
          <w:shd w:val="clear" w:color="auto" w:fill="FFFFFF"/>
        </w:rPr>
        <w:t>meghajtások</w:t>
      </w:r>
      <w:proofErr w:type="spellEnd"/>
      <w:r>
        <w:rPr>
          <w:rStyle w:val="normaltextrun"/>
          <w:color w:val="201A15"/>
          <w:shd w:val="clear" w:color="auto" w:fill="FFFFFF"/>
        </w:rPr>
        <w:t xml:space="preserve"> </w:t>
      </w:r>
      <w:proofErr w:type="spellStart"/>
      <w:r>
        <w:rPr>
          <w:rStyle w:val="normaltextrun"/>
          <w:color w:val="201A15"/>
          <w:shd w:val="clear" w:color="auto" w:fill="FFFFFF"/>
        </w:rPr>
        <w:t>és</w:t>
      </w:r>
      <w:proofErr w:type="spellEnd"/>
      <w:r>
        <w:rPr>
          <w:rStyle w:val="normaltextrun"/>
          <w:color w:val="201A15"/>
          <w:shd w:val="clear" w:color="auto" w:fill="FFFFFF"/>
        </w:rPr>
        <w:t xml:space="preserve"> </w:t>
      </w:r>
      <w:proofErr w:type="spellStart"/>
      <w:r>
        <w:rPr>
          <w:rStyle w:val="normaltextrun"/>
          <w:color w:val="201A15"/>
          <w:shd w:val="clear" w:color="auto" w:fill="FFFFFF"/>
        </w:rPr>
        <w:t>az</w:t>
      </w:r>
      <w:proofErr w:type="spellEnd"/>
      <w:r>
        <w:rPr>
          <w:rStyle w:val="normaltextrun"/>
          <w:color w:val="201A15"/>
          <w:shd w:val="clear" w:color="auto" w:fill="FFFFFF"/>
        </w:rPr>
        <w:t xml:space="preserve"> </w:t>
      </w:r>
      <w:proofErr w:type="spellStart"/>
      <w:r>
        <w:rPr>
          <w:rStyle w:val="normaltextrun"/>
          <w:color w:val="201A15"/>
          <w:shd w:val="clear" w:color="auto" w:fill="FFFFFF"/>
        </w:rPr>
        <w:t>iparágban</w:t>
      </w:r>
      <w:proofErr w:type="spellEnd"/>
      <w:r>
        <w:rPr>
          <w:rStyle w:val="normaltextrun"/>
          <w:color w:val="201A15"/>
          <w:shd w:val="clear" w:color="auto" w:fill="FFFFFF"/>
        </w:rPr>
        <w:t xml:space="preserve"> </w:t>
      </w:r>
      <w:proofErr w:type="spellStart"/>
      <w:r>
        <w:rPr>
          <w:rStyle w:val="normaltextrun"/>
          <w:color w:val="201A15"/>
          <w:shd w:val="clear" w:color="auto" w:fill="FFFFFF"/>
        </w:rPr>
        <w:t>etalonként</w:t>
      </w:r>
      <w:proofErr w:type="spellEnd"/>
      <w:r>
        <w:rPr>
          <w:rStyle w:val="normaltextrun"/>
          <w:color w:val="201A15"/>
          <w:shd w:val="clear" w:color="auto" w:fill="FFFFFF"/>
        </w:rPr>
        <w:t xml:space="preserve"> </w:t>
      </w:r>
      <w:proofErr w:type="spellStart"/>
      <w:r>
        <w:rPr>
          <w:rStyle w:val="normaltextrun"/>
          <w:color w:val="201A15"/>
          <w:shd w:val="clear" w:color="auto" w:fill="FFFFFF"/>
        </w:rPr>
        <w:t>elfogadott</w:t>
      </w:r>
      <w:proofErr w:type="spellEnd"/>
      <w:r>
        <w:rPr>
          <w:rStyle w:val="normaltextrun"/>
          <w:color w:val="201A15"/>
          <w:shd w:val="clear" w:color="auto" w:fill="FFFFFF"/>
        </w:rPr>
        <w:t xml:space="preserve"> SP25M </w:t>
      </w:r>
      <w:proofErr w:type="spellStart"/>
      <w:r>
        <w:rPr>
          <w:rStyle w:val="normaltextrun"/>
          <w:color w:val="201A15"/>
          <w:shd w:val="clear" w:color="auto" w:fill="FFFFFF"/>
        </w:rPr>
        <w:t>szkennelő</w:t>
      </w:r>
      <w:proofErr w:type="spellEnd"/>
      <w:r>
        <w:rPr>
          <w:rStyle w:val="normaltextrun"/>
          <w:color w:val="201A15"/>
          <w:shd w:val="clear" w:color="auto" w:fill="FFFFFF"/>
        </w:rPr>
        <w:t xml:space="preserve"> </w:t>
      </w:r>
      <w:proofErr w:type="spellStart"/>
      <w:r>
        <w:rPr>
          <w:rStyle w:val="normaltextrun"/>
          <w:color w:val="201A15"/>
          <w:shd w:val="clear" w:color="auto" w:fill="FFFFFF"/>
        </w:rPr>
        <w:t>mérőfej.</w:t>
      </w:r>
      <w:proofErr w:type="spellEnd"/>
    </w:p>
    <w:p w14:paraId="75041922" w14:textId="77777777" w:rsidR="004B30F4" w:rsidRDefault="004B30F4" w:rsidP="004B30F4">
      <w:pPr>
        <w:pStyle w:val="BodyText"/>
        <w:spacing w:line="288" w:lineRule="auto"/>
        <w:ind w:right="505"/>
        <w:rPr>
          <w:rStyle w:val="normaltextrun"/>
          <w:color w:val="201A15"/>
          <w:shd w:val="clear" w:color="auto" w:fill="FFFFFF"/>
        </w:rPr>
      </w:pPr>
    </w:p>
    <w:p w14:paraId="777E8F18" w14:textId="1A6021F9" w:rsidR="004B30F4" w:rsidRPr="0095746A" w:rsidRDefault="004B30F4" w:rsidP="004B30F4">
      <w:pPr>
        <w:pStyle w:val="BodyText"/>
        <w:spacing w:line="288" w:lineRule="auto"/>
        <w:ind w:right="505"/>
        <w:rPr>
          <w:rFonts w:cs="Arial"/>
          <w:color w:val="201A15"/>
          <w:shd w:val="clear" w:color="auto" w:fill="FFFFFF"/>
        </w:rPr>
      </w:pPr>
      <w:r>
        <w:rPr>
          <w:color w:val="201A15"/>
        </w:rPr>
        <w:t xml:space="preserve">A </w:t>
      </w:r>
      <w:proofErr w:type="spellStart"/>
      <w:r>
        <w:rPr>
          <w:color w:val="201A15"/>
        </w:rPr>
        <w:t>rendszer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önálló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gyártóüzemi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eszközként</w:t>
      </w:r>
      <w:proofErr w:type="spellEnd"/>
      <w:r>
        <w:rPr>
          <w:color w:val="201A15"/>
        </w:rPr>
        <w:t xml:space="preserve">, </w:t>
      </w:r>
      <w:proofErr w:type="spellStart"/>
      <w:r>
        <w:rPr>
          <w:color w:val="201A15"/>
        </w:rPr>
        <w:t>vagy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egy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teljesen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automatizált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cellába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integrálva</w:t>
      </w:r>
      <w:proofErr w:type="spellEnd"/>
      <w:r>
        <w:rPr>
          <w:color w:val="201A15"/>
        </w:rPr>
        <w:t xml:space="preserve"> is </w:t>
      </w:r>
      <w:proofErr w:type="spellStart"/>
      <w:r>
        <w:rPr>
          <w:color w:val="201A15"/>
        </w:rPr>
        <w:t>telepíthető</w:t>
      </w:r>
      <w:proofErr w:type="spellEnd"/>
      <w:r>
        <w:rPr>
          <w:color w:val="201A15"/>
        </w:rPr>
        <w:t xml:space="preserve">, </w:t>
      </w:r>
      <w:proofErr w:type="spellStart"/>
      <w:r>
        <w:rPr>
          <w:color w:val="201A15"/>
        </w:rPr>
        <w:t>így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páratlan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rugalmasságot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biztosít</w:t>
      </w:r>
      <w:proofErr w:type="spellEnd"/>
      <w:r>
        <w:rPr>
          <w:color w:val="201A15"/>
        </w:rPr>
        <w:t xml:space="preserve"> a </w:t>
      </w:r>
      <w:proofErr w:type="spellStart"/>
      <w:r>
        <w:rPr>
          <w:color w:val="201A15"/>
        </w:rPr>
        <w:t>változó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igényekhez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és</w:t>
      </w:r>
      <w:proofErr w:type="spellEnd"/>
      <w:r>
        <w:rPr>
          <w:color w:val="201A15"/>
        </w:rPr>
        <w:t xml:space="preserve"> a </w:t>
      </w:r>
      <w:proofErr w:type="spellStart"/>
      <w:r>
        <w:rPr>
          <w:color w:val="201A15"/>
        </w:rPr>
        <w:t>változó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gyártóüzemi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körülményekhez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való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alkalmazkodáshoz</w:t>
      </w:r>
      <w:proofErr w:type="spellEnd"/>
      <w:r>
        <w:rPr>
          <w:color w:val="201A15"/>
        </w:rPr>
        <w:t>.</w:t>
      </w:r>
    </w:p>
    <w:p w14:paraId="4D449211" w14:textId="77777777" w:rsidR="004B30F4" w:rsidRDefault="004B30F4" w:rsidP="004B30F4">
      <w:pPr>
        <w:pStyle w:val="BodyText"/>
        <w:spacing w:line="288" w:lineRule="auto"/>
        <w:ind w:right="505"/>
        <w:rPr>
          <w:rFonts w:eastAsia="Arial" w:cs="Arial"/>
          <w:color w:val="201A15"/>
          <w:spacing w:val="-4"/>
        </w:rPr>
      </w:pPr>
    </w:p>
    <w:p w14:paraId="5AA463E0" w14:textId="77777777" w:rsidR="004B30F4" w:rsidRDefault="004B30F4" w:rsidP="004B30F4">
      <w:pPr>
        <w:pStyle w:val="BodyText"/>
        <w:spacing w:line="288" w:lineRule="auto"/>
        <w:ind w:right="505"/>
        <w:rPr>
          <w:rFonts w:eastAsia="Arial" w:cs="Arial"/>
          <w:color w:val="201A15"/>
          <w:spacing w:val="-4"/>
        </w:rPr>
      </w:pPr>
      <w:r>
        <w:rPr>
          <w:color w:val="201A15"/>
        </w:rPr>
        <w:t xml:space="preserve">Az </w:t>
      </w:r>
      <w:proofErr w:type="spellStart"/>
      <w:r>
        <w:rPr>
          <w:color w:val="201A15"/>
        </w:rPr>
        <w:t>új</w:t>
      </w:r>
      <w:proofErr w:type="spellEnd"/>
      <w:r>
        <w:rPr>
          <w:color w:val="201A15"/>
        </w:rPr>
        <w:t xml:space="preserve"> Equator</w:t>
      </w:r>
      <w:r>
        <w:rPr>
          <w:color w:val="201A15"/>
        </w:rPr>
        <w:noBreakHyphen/>
        <w:t xml:space="preserve">X 500 </w:t>
      </w:r>
      <w:proofErr w:type="spellStart"/>
      <w:r>
        <w:rPr>
          <w:color w:val="201A15"/>
        </w:rPr>
        <w:t>rendszer</w:t>
      </w:r>
      <w:proofErr w:type="spellEnd"/>
      <w:r>
        <w:rPr>
          <w:color w:val="201A15"/>
        </w:rPr>
        <w:t xml:space="preserve"> standard </w:t>
      </w:r>
      <w:proofErr w:type="spellStart"/>
      <w:r>
        <w:rPr>
          <w:color w:val="201A15"/>
        </w:rPr>
        <w:t>szoftverplatformja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intuitív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és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funkciógazdag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kezelőfelülettel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rendelkezik</w:t>
      </w:r>
      <w:proofErr w:type="spellEnd"/>
      <w:r>
        <w:rPr>
          <w:color w:val="201A15"/>
        </w:rPr>
        <w:t xml:space="preserve">, </w:t>
      </w:r>
      <w:proofErr w:type="spellStart"/>
      <w:r>
        <w:rPr>
          <w:color w:val="201A15"/>
        </w:rPr>
        <w:t>amelyhez</w:t>
      </w:r>
      <w:proofErr w:type="spellEnd"/>
      <w:r>
        <w:rPr>
          <w:color w:val="201A15"/>
        </w:rPr>
        <w:t xml:space="preserve"> a Renishaw </w:t>
      </w:r>
      <w:proofErr w:type="spellStart"/>
      <w:r>
        <w:rPr>
          <w:color w:val="201A15"/>
        </w:rPr>
        <w:t>legújabb</w:t>
      </w:r>
      <w:proofErr w:type="spellEnd"/>
      <w:r>
        <w:rPr>
          <w:color w:val="201A15"/>
        </w:rPr>
        <w:t xml:space="preserve"> MODUS</w:t>
      </w:r>
      <w:r>
        <w:rPr>
          <w:sz w:val="16"/>
          <w:vertAlign w:val="superscript"/>
        </w:rPr>
        <w:t>TM</w:t>
      </w:r>
      <w:r>
        <w:rPr>
          <w:color w:val="201A15"/>
        </w:rPr>
        <w:t xml:space="preserve"> IM </w:t>
      </w:r>
      <w:proofErr w:type="spellStart"/>
      <w:r>
        <w:rPr>
          <w:color w:val="201A15"/>
        </w:rPr>
        <w:t>méréstechnikai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szoftveralkalmazásai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társulnak</w:t>
      </w:r>
      <w:proofErr w:type="spellEnd"/>
      <w:r>
        <w:rPr>
          <w:color w:val="201A15"/>
        </w:rPr>
        <w:t xml:space="preserve">. </w:t>
      </w:r>
      <w:proofErr w:type="spellStart"/>
      <w:r>
        <w:rPr>
          <w:color w:val="201A15"/>
        </w:rPr>
        <w:t>Ez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az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átfogó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szoftvereszköz-csomag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kiemelkedő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kényelmet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és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robusztus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teljesítményt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biztosít</w:t>
      </w:r>
      <w:proofErr w:type="spellEnd"/>
      <w:r>
        <w:rPr>
          <w:color w:val="201A15"/>
        </w:rPr>
        <w:t xml:space="preserve"> a </w:t>
      </w:r>
      <w:proofErr w:type="spellStart"/>
      <w:r>
        <w:rPr>
          <w:color w:val="201A15"/>
        </w:rPr>
        <w:t>programozáshoz</w:t>
      </w:r>
      <w:proofErr w:type="spellEnd"/>
      <w:r>
        <w:rPr>
          <w:color w:val="201A15"/>
        </w:rPr>
        <w:t xml:space="preserve">, a </w:t>
      </w:r>
      <w:proofErr w:type="spellStart"/>
      <w:r>
        <w:rPr>
          <w:color w:val="201A15"/>
        </w:rPr>
        <w:t>jelentéskészítéshez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és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az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üzemeltetéshez</w:t>
      </w:r>
      <w:proofErr w:type="spellEnd"/>
      <w:r>
        <w:rPr>
          <w:color w:val="201A15"/>
        </w:rPr>
        <w:t xml:space="preserve">, </w:t>
      </w:r>
      <w:proofErr w:type="spellStart"/>
      <w:r>
        <w:rPr>
          <w:color w:val="201A15"/>
        </w:rPr>
        <w:t>egyszerűsíti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az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összetett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feladatokat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és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javítja</w:t>
      </w:r>
      <w:proofErr w:type="spellEnd"/>
      <w:r>
        <w:rPr>
          <w:color w:val="201A15"/>
        </w:rPr>
        <w:t xml:space="preserve"> a </w:t>
      </w:r>
      <w:proofErr w:type="spellStart"/>
      <w:r>
        <w:rPr>
          <w:color w:val="201A15"/>
        </w:rPr>
        <w:t>felhasználói</w:t>
      </w:r>
      <w:proofErr w:type="spellEnd"/>
      <w:r>
        <w:rPr>
          <w:color w:val="201A15"/>
        </w:rPr>
        <w:t xml:space="preserve"> </w:t>
      </w:r>
      <w:proofErr w:type="spellStart"/>
      <w:r>
        <w:rPr>
          <w:color w:val="201A15"/>
        </w:rPr>
        <w:t>élményt</w:t>
      </w:r>
      <w:proofErr w:type="spellEnd"/>
      <w:r>
        <w:rPr>
          <w:color w:val="201A15"/>
        </w:rPr>
        <w:t xml:space="preserve">. </w:t>
      </w:r>
    </w:p>
    <w:p w14:paraId="6F987013" w14:textId="77777777" w:rsidR="004B30F4" w:rsidRPr="00356915" w:rsidRDefault="004B30F4" w:rsidP="004B30F4">
      <w:pPr>
        <w:pStyle w:val="BodyText"/>
        <w:spacing w:line="288" w:lineRule="auto"/>
        <w:ind w:right="505"/>
        <w:rPr>
          <w:rFonts w:eastAsia="Arial" w:cs="Arial"/>
        </w:rPr>
      </w:pPr>
    </w:p>
    <w:p w14:paraId="461071BA" w14:textId="77777777" w:rsidR="004B30F4" w:rsidRDefault="004B30F4" w:rsidP="004B30F4">
      <w:pPr>
        <w:pStyle w:val="BodyText"/>
        <w:spacing w:before="23"/>
        <w:rPr>
          <w:rFonts w:eastAsia="Arial" w:cs="Arial"/>
        </w:rPr>
      </w:pPr>
    </w:p>
    <w:p w14:paraId="7FE7CAE7" w14:textId="77777777" w:rsidR="004B30F4" w:rsidRDefault="004B30F4" w:rsidP="004B30F4">
      <w:pPr>
        <w:pStyle w:val="BodyText"/>
        <w:spacing w:before="1"/>
        <w:jc w:val="both"/>
      </w:pPr>
      <w:r>
        <w:t xml:space="preserve">Az </w:t>
      </w:r>
      <w:proofErr w:type="spellStart"/>
      <w:r>
        <w:t>új</w:t>
      </w:r>
      <w:proofErr w:type="spellEnd"/>
      <w:r>
        <w:t xml:space="preserve"> Equator-X </w:t>
      </w:r>
      <w:proofErr w:type="spellStart"/>
      <w:r>
        <w:t>rendszerrel</w:t>
      </w:r>
      <w:proofErr w:type="spellEnd"/>
      <w:r>
        <w:t xml:space="preserve"> </w:t>
      </w:r>
      <w:proofErr w:type="spellStart"/>
      <w:r>
        <w:t>kapcsolatos</w:t>
      </w:r>
      <w:proofErr w:type="spellEnd"/>
      <w:r>
        <w:t xml:space="preserve"> </w:t>
      </w:r>
      <w:proofErr w:type="spellStart"/>
      <w:r>
        <w:t>további</w:t>
      </w:r>
      <w:proofErr w:type="spellEnd"/>
      <w:r>
        <w:t xml:space="preserve"> </w:t>
      </w:r>
      <w:proofErr w:type="spellStart"/>
      <w:r>
        <w:t>információkért</w:t>
      </w:r>
      <w:proofErr w:type="spellEnd"/>
      <w:r>
        <w:t xml:space="preserve"> </w:t>
      </w:r>
      <w:proofErr w:type="spellStart"/>
      <w:r>
        <w:t>látogasson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a www.renishaw.com/equator-x </w:t>
      </w:r>
      <w:proofErr w:type="spellStart"/>
      <w:r>
        <w:t>weboldalra</w:t>
      </w:r>
      <w:proofErr w:type="spellEnd"/>
      <w:r>
        <w:t>.</w:t>
      </w:r>
    </w:p>
    <w:p w14:paraId="7A5FF40E" w14:textId="77777777" w:rsidR="004B30F4" w:rsidRDefault="004B30F4" w:rsidP="004B30F4">
      <w:pPr>
        <w:pStyle w:val="BodyText"/>
        <w:spacing w:before="69"/>
        <w:rPr>
          <w:sz w:val="22"/>
          <w:szCs w:val="22"/>
        </w:rPr>
      </w:pPr>
    </w:p>
    <w:p w14:paraId="4E22ABE8" w14:textId="77777777" w:rsidR="004B30F4" w:rsidRPr="0076394A" w:rsidRDefault="004B30F4" w:rsidP="004B30F4">
      <w:pPr>
        <w:ind w:left="111"/>
        <w:jc w:val="center"/>
        <w:rPr>
          <w:rFonts w:ascii="Arial"/>
          <w:b/>
          <w:bCs/>
          <w:sz w:val="24"/>
          <w:szCs w:val="24"/>
        </w:rPr>
      </w:pPr>
      <w:r>
        <w:rPr>
          <w:rFonts w:ascii="Arial"/>
          <w:b/>
          <w:sz w:val="24"/>
        </w:rPr>
        <w:t>-</w:t>
      </w:r>
      <w:proofErr w:type="spellStart"/>
      <w:r w:rsidRPr="004B30F4">
        <w:rPr>
          <w:rFonts w:ascii="Arial" w:hAnsi="Arial" w:cs="Arial"/>
          <w:b/>
          <w:sz w:val="24"/>
        </w:rPr>
        <w:t>Vége</w:t>
      </w:r>
      <w:proofErr w:type="spellEnd"/>
      <w:r>
        <w:rPr>
          <w:rFonts w:ascii="Arial"/>
          <w:b/>
          <w:sz w:val="24"/>
        </w:rPr>
        <w:t>-</w:t>
      </w:r>
    </w:p>
    <w:p w14:paraId="2E29BD8C" w14:textId="77777777" w:rsidR="0006668E" w:rsidRPr="004B0792" w:rsidRDefault="0006668E" w:rsidP="00F71F07">
      <w:pPr>
        <w:rPr>
          <w:rFonts w:ascii="DotumChe" w:eastAsia="DotumChe" w:hAnsi="DotumChe" w:cs="Arial"/>
        </w:rPr>
      </w:pPr>
    </w:p>
    <w:sectPr w:rsidR="0006668E" w:rsidRPr="004B0792" w:rsidSect="005A7A54">
      <w:type w:val="continuous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1AA8C" w14:textId="77777777" w:rsidR="007D5450" w:rsidRDefault="007D5450" w:rsidP="002E2F8C">
      <w:r>
        <w:separator/>
      </w:r>
    </w:p>
  </w:endnote>
  <w:endnote w:type="continuationSeparator" w:id="0">
    <w:p w14:paraId="1A6B6E3A" w14:textId="77777777" w:rsidR="007D5450" w:rsidRDefault="007D5450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70986" w14:textId="77777777" w:rsidR="007D5450" w:rsidRDefault="007D5450" w:rsidP="002E2F8C">
      <w:r>
        <w:separator/>
      </w:r>
    </w:p>
  </w:footnote>
  <w:footnote w:type="continuationSeparator" w:id="0">
    <w:p w14:paraId="1DCA6C3D" w14:textId="77777777" w:rsidR="007D5450" w:rsidRDefault="007D5450" w:rsidP="002E2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E2038"/>
    <w:multiLevelType w:val="hybridMultilevel"/>
    <w:tmpl w:val="90A6C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1709812">
    <w:abstractNumId w:val="1"/>
  </w:num>
  <w:num w:numId="2" w16cid:durableId="1018191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B30"/>
    <w:rsid w:val="0000531D"/>
    <w:rsid w:val="0000723D"/>
    <w:rsid w:val="00014E84"/>
    <w:rsid w:val="00041EF0"/>
    <w:rsid w:val="000566E5"/>
    <w:rsid w:val="0006668E"/>
    <w:rsid w:val="000A08F1"/>
    <w:rsid w:val="000B6575"/>
    <w:rsid w:val="000C189B"/>
    <w:rsid w:val="0012029C"/>
    <w:rsid w:val="00121BFD"/>
    <w:rsid w:val="0015599C"/>
    <w:rsid w:val="001656CA"/>
    <w:rsid w:val="0016753A"/>
    <w:rsid w:val="00180B30"/>
    <w:rsid w:val="00182797"/>
    <w:rsid w:val="00187F32"/>
    <w:rsid w:val="001A5B15"/>
    <w:rsid w:val="001C299A"/>
    <w:rsid w:val="001E350D"/>
    <w:rsid w:val="00203EE2"/>
    <w:rsid w:val="0020792C"/>
    <w:rsid w:val="00207A7E"/>
    <w:rsid w:val="0021050E"/>
    <w:rsid w:val="0021225A"/>
    <w:rsid w:val="00222CDF"/>
    <w:rsid w:val="00227CE4"/>
    <w:rsid w:val="00244A65"/>
    <w:rsid w:val="002469DB"/>
    <w:rsid w:val="00253AFB"/>
    <w:rsid w:val="002C3C92"/>
    <w:rsid w:val="002E2F8C"/>
    <w:rsid w:val="00304407"/>
    <w:rsid w:val="00324ED1"/>
    <w:rsid w:val="00326CC4"/>
    <w:rsid w:val="003377F3"/>
    <w:rsid w:val="0034023D"/>
    <w:rsid w:val="003647B3"/>
    <w:rsid w:val="0037242B"/>
    <w:rsid w:val="00381AE5"/>
    <w:rsid w:val="00387027"/>
    <w:rsid w:val="00392EF6"/>
    <w:rsid w:val="0039382D"/>
    <w:rsid w:val="003B1798"/>
    <w:rsid w:val="003D0070"/>
    <w:rsid w:val="003D5D29"/>
    <w:rsid w:val="003E6E81"/>
    <w:rsid w:val="003F2730"/>
    <w:rsid w:val="00407D9A"/>
    <w:rsid w:val="0043007C"/>
    <w:rsid w:val="004863E7"/>
    <w:rsid w:val="00490E55"/>
    <w:rsid w:val="004930B0"/>
    <w:rsid w:val="0049414C"/>
    <w:rsid w:val="00494AF4"/>
    <w:rsid w:val="004A2EF8"/>
    <w:rsid w:val="004B0792"/>
    <w:rsid w:val="004B30F4"/>
    <w:rsid w:val="004C5163"/>
    <w:rsid w:val="004F5243"/>
    <w:rsid w:val="00502207"/>
    <w:rsid w:val="00531B34"/>
    <w:rsid w:val="00532F54"/>
    <w:rsid w:val="00536066"/>
    <w:rsid w:val="00546FE4"/>
    <w:rsid w:val="005A7A54"/>
    <w:rsid w:val="005B0016"/>
    <w:rsid w:val="005B1C4E"/>
    <w:rsid w:val="00641A64"/>
    <w:rsid w:val="0065468E"/>
    <w:rsid w:val="00694EDE"/>
    <w:rsid w:val="006A046D"/>
    <w:rsid w:val="006A46F3"/>
    <w:rsid w:val="006C2C75"/>
    <w:rsid w:val="006D20DB"/>
    <w:rsid w:val="006E4D82"/>
    <w:rsid w:val="006F5B4C"/>
    <w:rsid w:val="00705CCA"/>
    <w:rsid w:val="00720134"/>
    <w:rsid w:val="0073088A"/>
    <w:rsid w:val="00731E9A"/>
    <w:rsid w:val="00760943"/>
    <w:rsid w:val="00775194"/>
    <w:rsid w:val="007873FD"/>
    <w:rsid w:val="007B340F"/>
    <w:rsid w:val="007C1CE4"/>
    <w:rsid w:val="007C4DCE"/>
    <w:rsid w:val="007C71DF"/>
    <w:rsid w:val="007D5450"/>
    <w:rsid w:val="00801707"/>
    <w:rsid w:val="008351B2"/>
    <w:rsid w:val="00843CA1"/>
    <w:rsid w:val="00847F00"/>
    <w:rsid w:val="00850260"/>
    <w:rsid w:val="00864808"/>
    <w:rsid w:val="008757C5"/>
    <w:rsid w:val="00895AD7"/>
    <w:rsid w:val="008D3B4D"/>
    <w:rsid w:val="008E13A6"/>
    <w:rsid w:val="008E2064"/>
    <w:rsid w:val="008F7BD0"/>
    <w:rsid w:val="00910A83"/>
    <w:rsid w:val="00967EE4"/>
    <w:rsid w:val="00981981"/>
    <w:rsid w:val="009B326C"/>
    <w:rsid w:val="009F5144"/>
    <w:rsid w:val="00A32C35"/>
    <w:rsid w:val="00A61DC8"/>
    <w:rsid w:val="00A73DF3"/>
    <w:rsid w:val="00A75378"/>
    <w:rsid w:val="00A82BC2"/>
    <w:rsid w:val="00A97343"/>
    <w:rsid w:val="00AD740F"/>
    <w:rsid w:val="00AE5DC4"/>
    <w:rsid w:val="00AF0683"/>
    <w:rsid w:val="00AF472F"/>
    <w:rsid w:val="00B156AA"/>
    <w:rsid w:val="00B20D51"/>
    <w:rsid w:val="00B35AA9"/>
    <w:rsid w:val="00B53C11"/>
    <w:rsid w:val="00B61F67"/>
    <w:rsid w:val="00B65D58"/>
    <w:rsid w:val="00B70383"/>
    <w:rsid w:val="00B70DAB"/>
    <w:rsid w:val="00B73EB3"/>
    <w:rsid w:val="00B86028"/>
    <w:rsid w:val="00BA0911"/>
    <w:rsid w:val="00BB4418"/>
    <w:rsid w:val="00C03B4D"/>
    <w:rsid w:val="00C067E2"/>
    <w:rsid w:val="00C37929"/>
    <w:rsid w:val="00C47966"/>
    <w:rsid w:val="00CA14FF"/>
    <w:rsid w:val="00CB0C2C"/>
    <w:rsid w:val="00CB1909"/>
    <w:rsid w:val="00CC4B43"/>
    <w:rsid w:val="00CE2B97"/>
    <w:rsid w:val="00CF722A"/>
    <w:rsid w:val="00D20622"/>
    <w:rsid w:val="00D92177"/>
    <w:rsid w:val="00D94955"/>
    <w:rsid w:val="00D9765D"/>
    <w:rsid w:val="00D97E36"/>
    <w:rsid w:val="00DB26B1"/>
    <w:rsid w:val="00E339D6"/>
    <w:rsid w:val="00E45664"/>
    <w:rsid w:val="00E61EC9"/>
    <w:rsid w:val="00E73435"/>
    <w:rsid w:val="00EB20DC"/>
    <w:rsid w:val="00EE0385"/>
    <w:rsid w:val="00F05286"/>
    <w:rsid w:val="00F30D7C"/>
    <w:rsid w:val="00F560D5"/>
    <w:rsid w:val="00F63D3C"/>
    <w:rsid w:val="00F71F07"/>
    <w:rsid w:val="00F81452"/>
    <w:rsid w:val="00FA3F2E"/>
    <w:rsid w:val="00FA5A2F"/>
    <w:rsid w:val="00FB0B5D"/>
    <w:rsid w:val="00FB2990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."/>
  <w:listSeparator w:val=","/>
  <w14:docId w14:val="52CC4B5B"/>
  <w15:chartTrackingRefBased/>
  <w15:docId w15:val="{148807B4-5FD1-42E4-B8FB-30026599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en-US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en-US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en-US"/>
    </w:rPr>
  </w:style>
  <w:style w:type="character" w:styleId="Hyperlink">
    <w:name w:val="Hyperlink"/>
    <w:uiPriority w:val="99"/>
    <w:unhideWhenUsed/>
    <w:rsid w:val="00490E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668E"/>
    <w:pPr>
      <w:spacing w:before="168" w:after="16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26CC4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6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F0683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1B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BFD"/>
  </w:style>
  <w:style w:type="paragraph" w:styleId="NoSpacing">
    <w:name w:val="No Spacing"/>
    <w:uiPriority w:val="1"/>
    <w:qFormat/>
    <w:rsid w:val="000A08F1"/>
    <w:rPr>
      <w:rFonts w:asciiTheme="minorHAnsi" w:eastAsiaTheme="minorHAnsi" w:hAnsiTheme="minorHAnsi" w:cstheme="minorBidi"/>
      <w:sz w:val="22"/>
      <w:szCs w:val="22"/>
      <w:lang w:val="fr-FR" w:eastAsia="en-US"/>
    </w:rPr>
  </w:style>
  <w:style w:type="paragraph" w:styleId="Title">
    <w:name w:val="Title"/>
    <w:basedOn w:val="Normal"/>
    <w:link w:val="TitleChar"/>
    <w:uiPriority w:val="10"/>
    <w:qFormat/>
    <w:rsid w:val="004B30F4"/>
    <w:pPr>
      <w:widowControl w:val="0"/>
      <w:autoSpaceDE w:val="0"/>
      <w:autoSpaceDN w:val="0"/>
      <w:ind w:left="111" w:right="1041"/>
    </w:pPr>
    <w:rPr>
      <w:rFonts w:ascii="Arial" w:eastAsia="Arial" w:hAnsi="Arial" w:cs="Arial"/>
      <w:b/>
      <w:bCs/>
      <w:sz w:val="22"/>
      <w:szCs w:val="22"/>
      <w:lang w:val="hu-HU" w:eastAsia="en-US"/>
    </w:rPr>
  </w:style>
  <w:style w:type="character" w:customStyle="1" w:styleId="TitleChar">
    <w:name w:val="Title Char"/>
    <w:basedOn w:val="DefaultParagraphFont"/>
    <w:link w:val="Title"/>
    <w:uiPriority w:val="10"/>
    <w:rsid w:val="004B30F4"/>
    <w:rPr>
      <w:rFonts w:ascii="Arial" w:eastAsia="Arial" w:hAnsi="Arial" w:cs="Arial"/>
      <w:b/>
      <w:bCs/>
      <w:sz w:val="22"/>
      <w:szCs w:val="22"/>
      <w:lang w:val="hu-HU" w:eastAsia="en-US"/>
    </w:rPr>
  </w:style>
  <w:style w:type="character" w:customStyle="1" w:styleId="normaltextrun">
    <w:name w:val="normaltextrun"/>
    <w:basedOn w:val="DefaultParagraphFont"/>
    <w:rsid w:val="004B30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429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3647</CharactersWithSpaces>
  <SharedDoc>false</SharedDoc>
  <HLinks>
    <vt:vector size="12" baseType="variant">
      <vt:variant>
        <vt:i4>2752552</vt:i4>
      </vt:variant>
      <vt:variant>
        <vt:i4>3</vt:i4>
      </vt:variant>
      <vt:variant>
        <vt:i4>0</vt:i4>
      </vt:variant>
      <vt:variant>
        <vt:i4>5</vt:i4>
      </vt:variant>
      <vt:variant>
        <vt:lpwstr>http://www.renishaw.com/calibration</vt:lpwstr>
      </vt:variant>
      <vt:variant>
        <vt:lpwstr/>
      </vt:variant>
      <vt:variant>
        <vt:i4>5701698</vt:i4>
      </vt:variant>
      <vt:variant>
        <vt:i4>0</vt:i4>
      </vt:variant>
      <vt:variant>
        <vt:i4>0</vt:i4>
      </vt:variant>
      <vt:variant>
        <vt:i4>5</vt:i4>
      </vt:variant>
      <vt:variant>
        <vt:lpwstr>http://www.renishaw.com/ballbartrace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Spokes</dc:creator>
  <cp:keywords/>
  <dc:description/>
  <cp:lastModifiedBy>Laia Batlle Cardona</cp:lastModifiedBy>
  <cp:revision>7</cp:revision>
  <cp:lastPrinted>2015-06-09T12:12:00Z</cp:lastPrinted>
  <dcterms:created xsi:type="dcterms:W3CDTF">2018-12-20T08:21:00Z</dcterms:created>
  <dcterms:modified xsi:type="dcterms:W3CDTF">2025-08-07T10:49:00Z</dcterms:modified>
</cp:coreProperties>
</file>