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57058F" w:rsidRPr="00EA7D84" w:rsidRDefault="0057058F" w:rsidP="0057058F">
      <w:pPr>
        <w:widowControl w:val="0"/>
        <w:autoSpaceDE w:val="0"/>
        <w:autoSpaceDN w:val="0"/>
        <w:adjustRightInd w:val="0"/>
        <w:ind w:right="114"/>
        <w:rPr>
          <w:rFonts w:ascii="Arial" w:eastAsia="Calibri" w:hAnsi="Arial" w:cs="Arial"/>
          <w:b/>
          <w:bCs/>
          <w:sz w:val="24"/>
          <w:szCs w:val="24"/>
        </w:rPr>
      </w:pPr>
      <w:bookmarkStart w:id="0" w:name="OLE_LINK1"/>
      <w:bookmarkStart w:id="1" w:name="OLE_LINK2"/>
      <w:proofErr w:type="spellStart"/>
      <w:r w:rsidRPr="00EA7D84">
        <w:rPr>
          <w:rFonts w:ascii="Arial" w:eastAsia="Calibri" w:hAnsi="Arial" w:cs="Arial"/>
          <w:b/>
          <w:bCs/>
          <w:sz w:val="24"/>
          <w:szCs w:val="24"/>
        </w:rPr>
        <w:t>Renishaw</w:t>
      </w:r>
      <w:proofErr w:type="spellEnd"/>
      <w:r w:rsidRPr="00EA7D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organizza un </w:t>
      </w:r>
      <w:r w:rsidRPr="00EA7D84">
        <w:rPr>
          <w:rFonts w:ascii="Arial" w:eastAsia="Calibri" w:hAnsi="Arial" w:cs="Arial"/>
          <w:b/>
          <w:bCs/>
          <w:sz w:val="24"/>
          <w:szCs w:val="24"/>
        </w:rPr>
        <w:t>w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ebinar sui </w:t>
      </w:r>
      <w:r w:rsidRPr="00EA7D84">
        <w:rPr>
          <w:rFonts w:ascii="Arial" w:eastAsia="Calibri" w:hAnsi="Arial" w:cs="Arial"/>
          <w:b/>
          <w:bCs/>
          <w:sz w:val="24"/>
          <w:szCs w:val="24"/>
        </w:rPr>
        <w:t>vantaggi dell’impostazione automatizzata della macchina utensile</w:t>
      </w:r>
    </w:p>
    <w:p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  <w:proofErr w:type="spellStart"/>
      <w:r w:rsidRPr="00EA7D84">
        <w:rPr>
          <w:rFonts w:ascii="Arial" w:hAnsi="Arial"/>
        </w:rPr>
        <w:t>Renishaw</w:t>
      </w:r>
      <w:proofErr w:type="spellEnd"/>
      <w:r w:rsidRPr="00EA7D84">
        <w:rPr>
          <w:rFonts w:ascii="Arial" w:hAnsi="Arial"/>
        </w:rPr>
        <w:t>, l’azienda specializzata in m</w:t>
      </w:r>
      <w:r>
        <w:rPr>
          <w:rFonts w:ascii="Arial" w:hAnsi="Arial"/>
        </w:rPr>
        <w:t xml:space="preserve">etrologia </w:t>
      </w:r>
      <w:r w:rsidRPr="000632D7">
        <w:rPr>
          <w:rFonts w:ascii="Arial" w:hAnsi="Arial"/>
        </w:rPr>
        <w:t>di alta precisione</w:t>
      </w:r>
      <w:r>
        <w:rPr>
          <w:rFonts w:ascii="Arial" w:hAnsi="Arial"/>
        </w:rPr>
        <w:t xml:space="preserve">, ottimizzazione dei processi produttivi 4.0, additive manufacturing e </w:t>
      </w:r>
      <w:r w:rsidRPr="000632D7">
        <w:rPr>
          <w:rFonts w:ascii="Arial" w:hAnsi="Arial"/>
        </w:rPr>
        <w:t xml:space="preserve">tecnologie per il settore </w:t>
      </w:r>
      <w:r>
        <w:rPr>
          <w:rFonts w:ascii="Arial" w:hAnsi="Arial"/>
        </w:rPr>
        <w:t>medicale terrà un webinar gratuito dal titolo “</w:t>
      </w:r>
      <w:r w:rsidRPr="000632D7">
        <w:rPr>
          <w:rFonts w:ascii="Arial" w:hAnsi="Arial"/>
        </w:rPr>
        <w:t>Come colmare i gap di competenze attraverso l’impostazione automatizzata della macchina utensile</w:t>
      </w:r>
      <w:r>
        <w:rPr>
          <w:rFonts w:ascii="Arial" w:hAnsi="Arial"/>
        </w:rPr>
        <w:t xml:space="preserve">”, venerdì 27 novembre dalle ore 10.00 alle ore 10.30. </w:t>
      </w: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Il webinar ha lo scopo di spiegare il funzionamento delle varie soluzioni di </w:t>
      </w:r>
      <w:r w:rsidRPr="000632D7">
        <w:rPr>
          <w:rFonts w:ascii="Arial" w:hAnsi="Arial"/>
        </w:rPr>
        <w:t xml:space="preserve">impostazione pezzo e di </w:t>
      </w:r>
      <w:proofErr w:type="spellStart"/>
      <w:r w:rsidRPr="000632D7">
        <w:rPr>
          <w:rFonts w:ascii="Arial" w:hAnsi="Arial"/>
        </w:rPr>
        <w:t>presetting</w:t>
      </w:r>
      <w:proofErr w:type="spellEnd"/>
      <w:r w:rsidRPr="000632D7">
        <w:rPr>
          <w:rFonts w:ascii="Arial" w:hAnsi="Arial"/>
        </w:rPr>
        <w:t xml:space="preserve"> utensili</w:t>
      </w:r>
      <w:r>
        <w:rPr>
          <w:rFonts w:ascii="Arial" w:hAnsi="Arial"/>
        </w:rPr>
        <w:t xml:space="preserve"> montate a bordo dei CNC, illustrare come queste possano essere inserite in un ambiente produttivo 4.0 e controllate con software sempre più user-</w:t>
      </w:r>
      <w:proofErr w:type="spellStart"/>
      <w:r>
        <w:rPr>
          <w:rFonts w:ascii="Arial" w:hAnsi="Arial"/>
        </w:rPr>
        <w:t>friendly</w:t>
      </w:r>
      <w:proofErr w:type="spellEnd"/>
      <w:r>
        <w:rPr>
          <w:rFonts w:ascii="Arial" w:hAnsi="Arial"/>
        </w:rPr>
        <w:t xml:space="preserve">. </w:t>
      </w: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Verranno inoltre mostrate le migliori pratiche per ridurre gli scarti, aumentare la produttività, l’accuratezza e la redditività dei processi produttivi attraverso tecnologie e best </w:t>
      </w:r>
      <w:proofErr w:type="spellStart"/>
      <w:r>
        <w:rPr>
          <w:rFonts w:ascii="Arial" w:hAnsi="Arial"/>
        </w:rPr>
        <w:t>practice</w:t>
      </w:r>
      <w:proofErr w:type="spellEnd"/>
      <w:r>
        <w:rPr>
          <w:rFonts w:ascii="Arial" w:hAnsi="Arial"/>
        </w:rPr>
        <w:t xml:space="preserve"> che stanno ormai diventando lo standard nelle lavorazioni a macchina utensile, soprattutto per  quelle realtà che fanno della produttività, del rispetto dei tempi di consegna e nella ricerca della massima precisione il proprio cavallo di battaglia per affrontare le sempre più impegnative sfide della manifattura odierna.</w:t>
      </w: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</w:p>
    <w:p w:rsidR="0057058F" w:rsidRDefault="0057058F" w:rsidP="0057058F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Puoi assistere al webinar registrandoti a questo indirizzo: </w:t>
      </w:r>
      <w:hyperlink r:id="rId8" w:history="1">
        <w:r w:rsidRPr="00434DDC">
          <w:rPr>
            <w:rStyle w:val="Collegamentoipertestuale"/>
            <w:rFonts w:ascii="Arial" w:hAnsi="Arial"/>
          </w:rPr>
          <w:t>https://bit.ly/3lq3cUf</w:t>
        </w:r>
      </w:hyperlink>
      <w:r>
        <w:rPr>
          <w:rFonts w:ascii="Arial" w:hAnsi="Arial"/>
        </w:rPr>
        <w:t xml:space="preserve"> </w:t>
      </w:r>
      <w:bookmarkStart w:id="2" w:name="_GoBack"/>
      <w:bookmarkEnd w:id="2"/>
    </w:p>
    <w:p w:rsidR="00E86CD2" w:rsidRDefault="00E86CD2" w:rsidP="00E86CD2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headerReference w:type="first" r:id="rId9"/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3B" w:rsidRDefault="00DD343B">
    <w:pPr>
      <w:pStyle w:val="Intestazione"/>
    </w:pPr>
    <w:r w:rsidRPr="0064055E">
      <w:rPr>
        <w:rFonts w:ascii="Arial" w:hAnsi="Arial" w:cs="Arial"/>
        <w:noProof/>
        <w:szCs w:val="24"/>
        <w:lang w:bidi="ar-SA"/>
      </w:rPr>
      <w:drawing>
        <wp:anchor distT="0" distB="0" distL="114300" distR="114300" simplePos="0" relativeHeight="251659264" behindDoc="0" locked="0" layoutInCell="0" allowOverlap="1" wp14:anchorId="2C489C39" wp14:editId="789E018F">
          <wp:simplePos x="0" y="0"/>
          <wp:positionH relativeFrom="column">
            <wp:posOffset>4764405</wp:posOffset>
          </wp:positionH>
          <wp:positionV relativeFrom="paragraph">
            <wp:posOffset>198120</wp:posOffset>
          </wp:positionV>
          <wp:extent cx="1815465" cy="681355"/>
          <wp:effectExtent l="0" t="0" r="0" b="4445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343B" w:rsidRDefault="00DD34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15717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7058F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D343B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FBCA7A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43B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lq3cU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1E29-2ED2-4427-BA4D-FBB0D9F8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2020-11-12T09:19:00Z</dcterms:created>
  <dcterms:modified xsi:type="dcterms:W3CDTF">2020-11-12T09:19:00Z</dcterms:modified>
</cp:coreProperties>
</file>